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590"/>
          <w:tab w:val="left" w:pos="4320"/>
        </w:tabs>
        <w:spacing w:before="0" w:after="0" w:line="480" w:lineRule="auto"/>
        <w:jc w:val="center"/>
        <w:rPr>
          <w:rFonts w:ascii="黑体" w:hAnsi="黑体" w:eastAsia="黑体" w:cs="黑体"/>
          <w:b w:val="0"/>
          <w:bCs w:val="0"/>
          <w:color w:val="auto"/>
        </w:rPr>
      </w:pPr>
      <w:r>
        <w:rPr>
          <w:rFonts w:hint="eastAsia" w:ascii="黑体" w:hAnsi="黑体" w:eastAsia="黑体" w:cs="黑体"/>
          <w:b w:val="0"/>
          <w:bCs w:val="0"/>
          <w:color w:val="auto"/>
        </w:rPr>
        <w:t>大数据与财务管理专业</w:t>
      </w:r>
    </w:p>
    <w:p>
      <w:pPr>
        <w:spacing w:line="480" w:lineRule="auto"/>
        <w:jc w:val="center"/>
        <w:rPr>
          <w:rFonts w:ascii="宋体" w:hAnsi="宋体"/>
          <w:color w:val="auto"/>
          <w:sz w:val="28"/>
        </w:rPr>
      </w:pPr>
      <w:r>
        <w:rPr>
          <w:rFonts w:hint="eastAsia" w:ascii="黑体" w:hAnsi="宋体" w:eastAsia="黑体"/>
          <w:color w:val="auto"/>
          <w:sz w:val="32"/>
          <w:szCs w:val="32"/>
        </w:rPr>
        <w:t>专业代码：530</w:t>
      </w:r>
      <w:r>
        <w:rPr>
          <w:rFonts w:ascii="黑体" w:hAnsi="宋体" w:eastAsia="黑体"/>
          <w:color w:val="auto"/>
          <w:sz w:val="32"/>
          <w:szCs w:val="32"/>
        </w:rPr>
        <w:t>301</w:t>
      </w: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一、培养目标</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本专业培养思想</w:t>
      </w:r>
      <w:r>
        <w:rPr>
          <w:color w:val="auto"/>
          <w:kern w:val="2"/>
        </w:rPr>
        <w:t>政治坚定、德技并修、全面发展</w:t>
      </w:r>
      <w:r>
        <w:rPr>
          <w:rFonts w:hint="eastAsia"/>
          <w:color w:val="auto"/>
          <w:kern w:val="2"/>
        </w:rPr>
        <w:t>，</w:t>
      </w:r>
      <w:r>
        <w:rPr>
          <w:rFonts w:hint="eastAsia" w:cs="宋体"/>
          <w:color w:val="auto"/>
        </w:rPr>
        <w:t>适应区域特色经济建设和社会发展需要</w:t>
      </w:r>
      <w:r>
        <w:rPr>
          <w:rFonts w:hint="eastAsia"/>
          <w:color w:val="auto"/>
          <w:kern w:val="2"/>
        </w:rPr>
        <w:t>，具有“诚信</w:t>
      </w:r>
      <w:r>
        <w:rPr>
          <w:color w:val="auto"/>
          <w:kern w:val="2"/>
        </w:rPr>
        <w:t>、合作、敬业</w:t>
      </w:r>
      <w:r>
        <w:rPr>
          <w:rFonts w:hint="eastAsia"/>
          <w:color w:val="auto"/>
          <w:kern w:val="2"/>
        </w:rPr>
        <w:t>、</w:t>
      </w:r>
      <w:r>
        <w:rPr>
          <w:color w:val="auto"/>
          <w:kern w:val="2"/>
        </w:rPr>
        <w:t>创新</w:t>
      </w:r>
      <w:r>
        <w:rPr>
          <w:rFonts w:hint="eastAsia"/>
          <w:color w:val="auto"/>
          <w:kern w:val="2"/>
        </w:rPr>
        <w:t>”的职业</w:t>
      </w:r>
      <w:r>
        <w:rPr>
          <w:color w:val="auto"/>
          <w:kern w:val="2"/>
        </w:rPr>
        <w:t>素质和</w:t>
      </w:r>
      <w:r>
        <w:rPr>
          <w:rFonts w:hint="eastAsia"/>
          <w:color w:val="auto"/>
          <w:kern w:val="2"/>
        </w:rPr>
        <w:t>大数据新思维，掌握</w:t>
      </w:r>
      <w:r>
        <w:rPr>
          <w:rFonts w:hint="eastAsia" w:cs="宋体"/>
          <w:color w:val="auto"/>
          <w:szCs w:val="21"/>
        </w:rPr>
        <w:t>会计、</w:t>
      </w:r>
      <w:r>
        <w:rPr>
          <w:rFonts w:cs="宋体"/>
          <w:color w:val="auto"/>
          <w:szCs w:val="21"/>
        </w:rPr>
        <w:t>财务、管理、法律</w:t>
      </w:r>
      <w:r>
        <w:rPr>
          <w:rFonts w:hint="eastAsia"/>
          <w:color w:val="auto"/>
          <w:kern w:val="2"/>
        </w:rPr>
        <w:t>及</w:t>
      </w:r>
      <w:r>
        <w:rPr>
          <w:color w:val="auto"/>
          <w:kern w:val="2"/>
        </w:rPr>
        <w:t>建筑</w:t>
      </w:r>
      <w:r>
        <w:rPr>
          <w:rFonts w:hint="eastAsia"/>
          <w:color w:val="auto"/>
          <w:kern w:val="2"/>
        </w:rPr>
        <w:t>等知识，</w:t>
      </w:r>
      <w:r>
        <w:rPr>
          <w:rFonts w:hint="eastAsia"/>
          <w:color w:val="auto"/>
          <w:szCs w:val="21"/>
        </w:rPr>
        <w:t>能够胜任共享</w:t>
      </w:r>
      <w:r>
        <w:rPr>
          <w:color w:val="auto"/>
          <w:szCs w:val="21"/>
        </w:rPr>
        <w:t>财务</w:t>
      </w:r>
      <w:r>
        <w:rPr>
          <w:rFonts w:hint="eastAsia"/>
          <w:color w:val="auto"/>
          <w:szCs w:val="21"/>
        </w:rPr>
        <w:t>、管理财务、战略财务等职业岗位，符合新时代企业管理技术创新、财务转型升级要求，适应数字经济时代需求的懂业务、强核算、</w:t>
      </w:r>
      <w:r>
        <w:rPr>
          <w:rFonts w:hint="eastAsia"/>
          <w:color w:val="auto"/>
          <w:szCs w:val="21"/>
          <w:lang w:val="en-US" w:eastAsia="zh-CN"/>
        </w:rPr>
        <w:t>能</w:t>
      </w:r>
      <w:r>
        <w:rPr>
          <w:rFonts w:hint="eastAsia"/>
          <w:color w:val="auto"/>
          <w:szCs w:val="21"/>
        </w:rPr>
        <w:t>管理</w:t>
      </w:r>
      <w:r>
        <w:rPr>
          <w:rFonts w:hint="eastAsia"/>
          <w:color w:val="auto"/>
          <w:szCs w:val="21"/>
          <w:lang w:eastAsia="zh-CN"/>
        </w:rPr>
        <w:t>、</w:t>
      </w:r>
      <w:r>
        <w:rPr>
          <w:rFonts w:hint="eastAsia"/>
          <w:color w:val="auto"/>
          <w:szCs w:val="21"/>
        </w:rPr>
        <w:t>会工具</w:t>
      </w:r>
      <w:r>
        <w:rPr>
          <w:rFonts w:hint="eastAsia" w:cs="宋体"/>
          <w:color w:val="auto"/>
          <w:szCs w:val="21"/>
          <w:shd w:val="clear" w:color="auto" w:fill="FFFFFF"/>
        </w:rPr>
        <w:t>的高素质</w:t>
      </w:r>
      <w:r>
        <w:rPr>
          <w:rFonts w:cs="宋体"/>
          <w:color w:val="auto"/>
          <w:szCs w:val="21"/>
          <w:shd w:val="clear" w:color="auto" w:fill="FFFFFF"/>
        </w:rPr>
        <w:t>技能</w:t>
      </w:r>
      <w:r>
        <w:rPr>
          <w:rFonts w:hint="eastAsia" w:cs="宋体"/>
          <w:color w:val="auto"/>
          <w:szCs w:val="21"/>
          <w:shd w:val="clear" w:color="auto" w:fill="FFFFFF"/>
        </w:rPr>
        <w:t>创新型数智化财务</w:t>
      </w:r>
      <w:r>
        <w:rPr>
          <w:rFonts w:hint="eastAsia"/>
          <w:color w:val="auto"/>
          <w:szCs w:val="21"/>
        </w:rPr>
        <w:t>人才</w:t>
      </w:r>
      <w:r>
        <w:rPr>
          <w:rFonts w:hint="eastAsia"/>
          <w:color w:val="auto"/>
          <w:kern w:val="2"/>
        </w:rPr>
        <w:t>。</w:t>
      </w: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二、招生对象、修业年限</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（一）招生对象：高中阶段</w:t>
      </w:r>
      <w:r>
        <w:rPr>
          <w:color w:val="auto"/>
          <w:kern w:val="2"/>
        </w:rPr>
        <w:t>教育毕业生或具有同等学历者</w:t>
      </w:r>
      <w:r>
        <w:rPr>
          <w:rFonts w:hint="eastAsia"/>
          <w:color w:val="auto"/>
          <w:kern w:val="2"/>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（二）修业年限：基本</w:t>
      </w:r>
      <w:r>
        <w:rPr>
          <w:color w:val="auto"/>
          <w:kern w:val="2"/>
        </w:rPr>
        <w:t>修</w:t>
      </w:r>
      <w:r>
        <w:rPr>
          <w:rFonts w:hint="eastAsia"/>
          <w:color w:val="auto"/>
          <w:kern w:val="2"/>
        </w:rPr>
        <w:t>业</w:t>
      </w:r>
      <w:r>
        <w:rPr>
          <w:color w:val="auto"/>
          <w:kern w:val="2"/>
        </w:rPr>
        <w:t>年限</w:t>
      </w:r>
      <w:r>
        <w:rPr>
          <w:rFonts w:hint="eastAsia"/>
          <w:color w:val="auto"/>
          <w:kern w:val="2"/>
        </w:rPr>
        <w:t>为3年，学习年限3-5年。</w:t>
      </w: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三、职业面向</w:t>
      </w:r>
    </w:p>
    <w:p>
      <w:pPr>
        <w:pStyle w:val="7"/>
        <w:adjustRightInd w:val="0"/>
        <w:snapToGrid w:val="0"/>
        <w:spacing w:before="0" w:beforeAutospacing="0" w:after="0" w:afterAutospacing="0" w:line="480" w:lineRule="exact"/>
        <w:ind w:firstLine="460" w:firstLineChars="192"/>
        <w:jc w:val="center"/>
        <w:rPr>
          <w:rFonts w:ascii="黑体" w:eastAsia="黑体"/>
          <w:color w:val="auto"/>
          <w:kern w:val="2"/>
          <w:sz w:val="28"/>
          <w:szCs w:val="28"/>
        </w:rPr>
      </w:pPr>
      <w:r>
        <w:rPr>
          <w:rFonts w:hint="eastAsia" w:cs="宋体"/>
          <w:color w:val="auto"/>
          <w:kern w:val="2"/>
        </w:rPr>
        <w:t>表1 本专业职业面向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183"/>
        <w:gridCol w:w="1056"/>
        <w:gridCol w:w="1686"/>
        <w:gridCol w:w="1801"/>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widowControl/>
              <w:spacing w:line="0" w:lineRule="atLeast"/>
              <w:rPr>
                <w:rFonts w:ascii="宋体" w:hAnsi="宋体" w:cs="宋体"/>
                <w:color w:val="auto"/>
                <w:kern w:val="0"/>
                <w:sz w:val="24"/>
              </w:rPr>
            </w:pPr>
            <w:r>
              <w:rPr>
                <w:rFonts w:ascii="宋体" w:hAnsi="宋体" w:cs="宋体"/>
                <w:color w:val="auto"/>
                <w:kern w:val="0"/>
                <w:sz w:val="24"/>
              </w:rPr>
              <w:t>所属专业大类（代码）</w:t>
            </w:r>
          </w:p>
        </w:tc>
        <w:tc>
          <w:tcPr>
            <w:tcW w:w="1183" w:type="dxa"/>
            <w:vAlign w:val="center"/>
          </w:tcPr>
          <w:p>
            <w:pPr>
              <w:widowControl/>
              <w:spacing w:line="0" w:lineRule="atLeast"/>
              <w:rPr>
                <w:rFonts w:ascii="宋体" w:hAnsi="宋体" w:cs="宋体"/>
                <w:color w:val="auto"/>
                <w:kern w:val="0"/>
                <w:sz w:val="24"/>
              </w:rPr>
            </w:pPr>
            <w:r>
              <w:rPr>
                <w:rFonts w:ascii="宋体" w:hAnsi="宋体" w:cs="宋体"/>
                <w:color w:val="auto"/>
                <w:kern w:val="0"/>
                <w:sz w:val="24"/>
              </w:rPr>
              <w:t>所属专业类（代码）</w:t>
            </w:r>
          </w:p>
        </w:tc>
        <w:tc>
          <w:tcPr>
            <w:tcW w:w="1056" w:type="dxa"/>
            <w:vAlign w:val="center"/>
          </w:tcPr>
          <w:p>
            <w:pPr>
              <w:widowControl/>
              <w:spacing w:line="0" w:lineRule="atLeast"/>
              <w:jc w:val="center"/>
              <w:rPr>
                <w:rFonts w:ascii="宋体" w:hAnsi="宋体" w:cs="宋体"/>
                <w:color w:val="auto"/>
                <w:kern w:val="0"/>
                <w:sz w:val="24"/>
              </w:rPr>
            </w:pPr>
            <w:r>
              <w:rPr>
                <w:rFonts w:ascii="宋体" w:hAnsi="宋体" w:cs="宋体"/>
                <w:color w:val="auto"/>
                <w:kern w:val="0"/>
                <w:sz w:val="24"/>
              </w:rPr>
              <w:t>对应</w:t>
            </w:r>
          </w:p>
          <w:p>
            <w:pPr>
              <w:widowControl/>
              <w:spacing w:line="0" w:lineRule="atLeast"/>
              <w:jc w:val="center"/>
              <w:rPr>
                <w:rFonts w:ascii="宋体" w:hAnsi="宋体" w:cs="宋体"/>
                <w:color w:val="auto"/>
                <w:kern w:val="0"/>
                <w:sz w:val="24"/>
              </w:rPr>
            </w:pPr>
            <w:r>
              <w:rPr>
                <w:rFonts w:ascii="宋体" w:hAnsi="宋体" w:cs="宋体"/>
                <w:color w:val="auto"/>
                <w:kern w:val="0"/>
                <w:sz w:val="24"/>
              </w:rPr>
              <w:t>行业</w:t>
            </w:r>
          </w:p>
        </w:tc>
        <w:tc>
          <w:tcPr>
            <w:tcW w:w="1686" w:type="dxa"/>
            <w:vAlign w:val="center"/>
          </w:tcPr>
          <w:p>
            <w:pPr>
              <w:widowControl/>
              <w:spacing w:line="0" w:lineRule="atLeast"/>
              <w:rPr>
                <w:rFonts w:ascii="宋体" w:hAnsi="宋体" w:cs="宋体"/>
                <w:color w:val="auto"/>
                <w:kern w:val="0"/>
                <w:sz w:val="24"/>
              </w:rPr>
            </w:pPr>
            <w:r>
              <w:rPr>
                <w:rFonts w:ascii="宋体" w:hAnsi="宋体" w:cs="宋体"/>
                <w:color w:val="auto"/>
                <w:kern w:val="0"/>
                <w:sz w:val="24"/>
              </w:rPr>
              <w:t>主要职业类别</w:t>
            </w:r>
          </w:p>
        </w:tc>
        <w:tc>
          <w:tcPr>
            <w:tcW w:w="1801" w:type="dxa"/>
            <w:vAlign w:val="center"/>
          </w:tcPr>
          <w:p>
            <w:pPr>
              <w:widowControl/>
              <w:spacing w:line="0" w:lineRule="atLeast"/>
              <w:rPr>
                <w:rFonts w:ascii="宋体" w:hAnsi="宋体" w:cs="宋体"/>
                <w:color w:val="auto"/>
                <w:kern w:val="0"/>
                <w:sz w:val="24"/>
              </w:rPr>
            </w:pPr>
            <w:r>
              <w:rPr>
                <w:rFonts w:ascii="宋体" w:hAnsi="宋体" w:cs="宋体"/>
                <w:color w:val="auto"/>
                <w:kern w:val="0"/>
                <w:sz w:val="24"/>
              </w:rPr>
              <w:t>主要岗位群或技术领域举例</w:t>
            </w:r>
          </w:p>
        </w:tc>
        <w:tc>
          <w:tcPr>
            <w:tcW w:w="2320" w:type="dxa"/>
            <w:vAlign w:val="center"/>
          </w:tcPr>
          <w:p>
            <w:pPr>
              <w:widowControl/>
              <w:spacing w:line="0" w:lineRule="atLeast"/>
              <w:rPr>
                <w:rFonts w:ascii="宋体" w:hAnsi="宋体" w:cs="宋体"/>
                <w:color w:val="auto"/>
                <w:kern w:val="0"/>
                <w:sz w:val="24"/>
              </w:rPr>
            </w:pPr>
            <w:r>
              <w:rPr>
                <w:rFonts w:ascii="宋体" w:hAnsi="宋体" w:cs="宋体"/>
                <w:color w:val="auto"/>
                <w:kern w:val="0"/>
                <w:sz w:val="24"/>
              </w:rPr>
              <w:t>职业资格证书和职业技能等级证书举例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overflowPunct w:val="0"/>
              <w:adjustRightInd w:val="0"/>
              <w:snapToGrid w:val="0"/>
              <w:spacing w:line="0" w:lineRule="atLeast"/>
              <w:jc w:val="center"/>
              <w:rPr>
                <w:rFonts w:ascii="宋体" w:hAnsi="宋体"/>
                <w:b/>
                <w:color w:val="auto"/>
                <w:w w:val="90"/>
                <w:szCs w:val="21"/>
              </w:rPr>
            </w:pPr>
            <w:r>
              <w:rPr>
                <w:rFonts w:hint="eastAsia" w:ascii="宋体" w:hAnsi="宋体"/>
                <w:color w:val="auto"/>
                <w:szCs w:val="21"/>
              </w:rPr>
              <w:t>财经商贸大类（53）</w:t>
            </w:r>
          </w:p>
        </w:tc>
        <w:tc>
          <w:tcPr>
            <w:tcW w:w="1183" w:type="dxa"/>
            <w:vAlign w:val="center"/>
          </w:tcPr>
          <w:p>
            <w:pPr>
              <w:overflowPunct w:val="0"/>
              <w:adjustRightInd w:val="0"/>
              <w:snapToGrid w:val="0"/>
              <w:spacing w:line="0" w:lineRule="atLeast"/>
              <w:jc w:val="center"/>
              <w:rPr>
                <w:rFonts w:ascii="宋体" w:hAnsi="宋体"/>
                <w:b/>
                <w:color w:val="auto"/>
                <w:w w:val="90"/>
                <w:szCs w:val="21"/>
              </w:rPr>
            </w:pPr>
            <w:r>
              <w:rPr>
                <w:rFonts w:hint="eastAsia" w:ascii="宋体" w:hAnsi="宋体"/>
                <w:color w:val="auto"/>
                <w:szCs w:val="21"/>
              </w:rPr>
              <w:t>财务会计类（5303）</w:t>
            </w:r>
          </w:p>
        </w:tc>
        <w:tc>
          <w:tcPr>
            <w:tcW w:w="1056" w:type="dxa"/>
            <w:vAlign w:val="center"/>
          </w:tcPr>
          <w:p>
            <w:pPr>
              <w:overflowPunct w:val="0"/>
              <w:adjustRightInd w:val="0"/>
              <w:snapToGrid w:val="0"/>
              <w:spacing w:line="0" w:lineRule="atLeast"/>
              <w:jc w:val="center"/>
              <w:rPr>
                <w:rFonts w:ascii="宋体" w:hAnsi="宋体"/>
                <w:color w:val="auto"/>
                <w:szCs w:val="21"/>
              </w:rPr>
            </w:pPr>
            <w:r>
              <w:rPr>
                <w:rFonts w:hint="eastAsia" w:ascii="宋体" w:hAnsi="宋体"/>
                <w:color w:val="auto"/>
                <w:szCs w:val="21"/>
              </w:rPr>
              <w:t>会计、审计、税务服务（7241）</w:t>
            </w:r>
          </w:p>
        </w:tc>
        <w:tc>
          <w:tcPr>
            <w:tcW w:w="1686" w:type="dxa"/>
            <w:vAlign w:val="center"/>
          </w:tcPr>
          <w:p>
            <w:pPr>
              <w:overflowPunct w:val="0"/>
              <w:adjustRightInd w:val="0"/>
              <w:snapToGrid w:val="0"/>
              <w:spacing w:line="0" w:lineRule="atLeast"/>
              <w:jc w:val="center"/>
              <w:rPr>
                <w:rFonts w:ascii="宋体" w:hAnsi="宋体"/>
                <w:color w:val="auto"/>
                <w:szCs w:val="21"/>
              </w:rPr>
            </w:pPr>
            <w:r>
              <w:rPr>
                <w:rFonts w:hint="eastAsia" w:ascii="宋体" w:hAnsi="宋体"/>
                <w:color w:val="auto"/>
                <w:szCs w:val="21"/>
              </w:rPr>
              <w:t>会计专业人员（2-06-03-00）</w:t>
            </w:r>
          </w:p>
          <w:p>
            <w:pPr>
              <w:overflowPunct w:val="0"/>
              <w:adjustRightInd w:val="0"/>
              <w:snapToGrid w:val="0"/>
              <w:spacing w:line="0" w:lineRule="atLeast"/>
              <w:jc w:val="center"/>
              <w:rPr>
                <w:rFonts w:ascii="宋体" w:hAnsi="宋体"/>
                <w:b/>
                <w:color w:val="auto"/>
                <w:w w:val="90"/>
                <w:szCs w:val="21"/>
              </w:rPr>
            </w:pPr>
            <w:r>
              <w:rPr>
                <w:rFonts w:hint="eastAsia" w:ascii="宋体" w:hAnsi="宋体"/>
                <w:color w:val="auto"/>
                <w:szCs w:val="21"/>
              </w:rPr>
              <w:t>税务</w:t>
            </w:r>
            <w:r>
              <w:rPr>
                <w:rFonts w:ascii="宋体" w:hAnsi="宋体"/>
                <w:color w:val="auto"/>
                <w:szCs w:val="21"/>
              </w:rPr>
              <w:t>专业人员</w:t>
            </w:r>
            <w:r>
              <w:rPr>
                <w:rFonts w:hint="eastAsia" w:ascii="宋体" w:hAnsi="宋体"/>
                <w:color w:val="auto"/>
                <w:szCs w:val="21"/>
              </w:rPr>
              <w:t>（2-06-0</w:t>
            </w:r>
            <w:r>
              <w:rPr>
                <w:rFonts w:ascii="宋体" w:hAnsi="宋体"/>
                <w:color w:val="auto"/>
                <w:szCs w:val="21"/>
              </w:rPr>
              <w:t>5</w:t>
            </w:r>
            <w:r>
              <w:rPr>
                <w:rFonts w:hint="eastAsia" w:ascii="宋体" w:hAnsi="宋体"/>
                <w:color w:val="auto"/>
                <w:szCs w:val="21"/>
              </w:rPr>
              <w:t>-00）</w:t>
            </w:r>
          </w:p>
        </w:tc>
        <w:tc>
          <w:tcPr>
            <w:tcW w:w="1801" w:type="dxa"/>
            <w:vAlign w:val="center"/>
          </w:tcPr>
          <w:p>
            <w:pPr>
              <w:overflowPunct w:val="0"/>
              <w:adjustRightInd w:val="0"/>
              <w:snapToGrid w:val="0"/>
              <w:spacing w:line="0" w:lineRule="atLeast"/>
              <w:jc w:val="left"/>
              <w:rPr>
                <w:rFonts w:ascii="宋体" w:hAnsi="宋体"/>
                <w:color w:val="auto"/>
                <w:szCs w:val="21"/>
              </w:rPr>
            </w:pPr>
            <w:r>
              <w:rPr>
                <w:rFonts w:hint="eastAsia" w:ascii="宋体" w:hAnsi="宋体"/>
                <w:color w:val="auto"/>
                <w:szCs w:val="21"/>
              </w:rPr>
              <w:t>共享</w:t>
            </w:r>
            <w:r>
              <w:rPr>
                <w:rFonts w:ascii="宋体" w:hAnsi="宋体"/>
                <w:color w:val="auto"/>
                <w:szCs w:val="21"/>
              </w:rPr>
              <w:t>财务、管理财务、战略财务</w:t>
            </w:r>
          </w:p>
        </w:tc>
        <w:tc>
          <w:tcPr>
            <w:tcW w:w="2320" w:type="dxa"/>
            <w:vAlign w:val="center"/>
          </w:tcPr>
          <w:p>
            <w:pPr>
              <w:overflowPunct w:val="0"/>
              <w:adjustRightInd w:val="0"/>
              <w:snapToGrid w:val="0"/>
              <w:spacing w:line="0" w:lineRule="atLeast"/>
              <w:jc w:val="left"/>
              <w:rPr>
                <w:rFonts w:ascii="宋体" w:hAnsi="宋体"/>
                <w:b/>
                <w:color w:val="auto"/>
                <w:w w:val="90"/>
                <w:szCs w:val="21"/>
              </w:rPr>
            </w:pPr>
            <w:r>
              <w:rPr>
                <w:rFonts w:cs="宋体"/>
                <w:color w:val="auto"/>
                <w:kern w:val="0"/>
                <w:szCs w:val="21"/>
              </w:rPr>
              <w:t>会计专业技术资格证书</w:t>
            </w:r>
            <w:r>
              <w:rPr>
                <w:rFonts w:hint="eastAsia" w:cs="宋体"/>
                <w:color w:val="auto"/>
                <w:kern w:val="0"/>
                <w:szCs w:val="21"/>
              </w:rPr>
              <w:t>（初级）</w:t>
            </w:r>
            <w:r>
              <w:rPr>
                <w:rFonts w:hint="eastAsia" w:ascii="宋体" w:hAnsi="宋体"/>
                <w:color w:val="auto"/>
                <w:szCs w:val="21"/>
              </w:rPr>
              <w:t>、财务数字化应用、业财一体信息化应用职业技能等级证书等。</w:t>
            </w:r>
          </w:p>
        </w:tc>
      </w:tr>
    </w:tbl>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四、人才培养规格</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（一）工作岗位</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基础岗位：共享</w:t>
      </w:r>
      <w:r>
        <w:rPr>
          <w:color w:val="auto"/>
          <w:kern w:val="2"/>
        </w:rPr>
        <w:t>财务</w:t>
      </w:r>
      <w:r>
        <w:rPr>
          <w:rFonts w:hint="eastAsia"/>
          <w:color w:val="auto"/>
          <w:kern w:val="2"/>
        </w:rPr>
        <w:t>岗位。</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核心岗位：管理财务岗位。</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发展岗位：战略</w:t>
      </w:r>
      <w:r>
        <w:rPr>
          <w:color w:val="auto"/>
          <w:kern w:val="2"/>
        </w:rPr>
        <w:t>财务</w:t>
      </w:r>
      <w:r>
        <w:rPr>
          <w:rFonts w:hint="eastAsia"/>
          <w:color w:val="auto"/>
          <w:kern w:val="2"/>
        </w:rPr>
        <w:t>岗位。</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（二）知识、能力及素质结构</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w:t>
      </w:r>
      <w:r>
        <w:rPr>
          <w:color w:val="auto"/>
          <w:kern w:val="2"/>
        </w:rPr>
        <w:t>.知识结构</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（1）掌握必需的文化基础知识；</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（2）熟悉建筑、</w:t>
      </w:r>
      <w:r>
        <w:rPr>
          <w:color w:val="auto"/>
          <w:kern w:val="2"/>
        </w:rPr>
        <w:t>会计、财务、</w:t>
      </w:r>
      <w:r>
        <w:rPr>
          <w:rFonts w:hint="eastAsia"/>
          <w:color w:val="auto"/>
          <w:kern w:val="2"/>
        </w:rPr>
        <w:t>税收</w:t>
      </w:r>
      <w:r>
        <w:rPr>
          <w:color w:val="auto"/>
          <w:kern w:val="2"/>
        </w:rPr>
        <w:t>、</w:t>
      </w:r>
      <w:r>
        <w:rPr>
          <w:rFonts w:hint="eastAsia"/>
          <w:color w:val="auto"/>
          <w:kern w:val="2"/>
        </w:rPr>
        <w:t>金融、</w:t>
      </w:r>
      <w:r>
        <w:rPr>
          <w:color w:val="auto"/>
          <w:kern w:val="2"/>
        </w:rPr>
        <w:t>管理、</w:t>
      </w:r>
      <w:r>
        <w:rPr>
          <w:rFonts w:hint="eastAsia"/>
          <w:color w:val="auto"/>
          <w:kern w:val="2"/>
        </w:rPr>
        <w:t>经济</w:t>
      </w:r>
      <w:r>
        <w:rPr>
          <w:color w:val="auto"/>
          <w:kern w:val="2"/>
        </w:rPr>
        <w:t>、法律等</w:t>
      </w:r>
      <w:r>
        <w:rPr>
          <w:rFonts w:hint="eastAsia"/>
          <w:color w:val="auto"/>
          <w:kern w:val="2"/>
        </w:rPr>
        <w:t>基础</w:t>
      </w:r>
      <w:r>
        <w:rPr>
          <w:color w:val="auto"/>
          <w:kern w:val="2"/>
        </w:rPr>
        <w:t>理论及</w:t>
      </w:r>
      <w:r>
        <w:rPr>
          <w:rFonts w:hint="eastAsia"/>
          <w:color w:val="auto"/>
          <w:kern w:val="2"/>
        </w:rPr>
        <w:t>相关法律法规；</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w:t>
      </w:r>
      <w:r>
        <w:rPr>
          <w:color w:val="auto"/>
          <w:kern w:val="2"/>
        </w:rPr>
        <w:t>3</w:t>
      </w:r>
      <w:r>
        <w:rPr>
          <w:rFonts w:hint="eastAsia"/>
          <w:color w:val="auto"/>
          <w:kern w:val="2"/>
        </w:rPr>
        <w:t>）熟悉建筑工程基础知识和工程项目数字化管理的流程；</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w:t>
      </w:r>
      <w:r>
        <w:rPr>
          <w:color w:val="auto"/>
          <w:kern w:val="2"/>
        </w:rPr>
        <w:t>4</w:t>
      </w:r>
      <w:r>
        <w:rPr>
          <w:rFonts w:hint="eastAsia"/>
          <w:color w:val="auto"/>
          <w:kern w:val="2"/>
        </w:rPr>
        <w:t>）掌握财务核算、智能财务、财务管理、税务实务与筹划、管理会计、经营</w:t>
      </w:r>
      <w:r>
        <w:rPr>
          <w:color w:val="auto"/>
          <w:kern w:val="2"/>
        </w:rPr>
        <w:t>决策</w:t>
      </w:r>
      <w:r>
        <w:rPr>
          <w:rFonts w:hint="eastAsia"/>
          <w:color w:val="auto"/>
          <w:kern w:val="2"/>
        </w:rPr>
        <w:t>等理论</w:t>
      </w:r>
      <w:r>
        <w:rPr>
          <w:color w:val="auto"/>
          <w:kern w:val="2"/>
        </w:rPr>
        <w:t>和方法</w:t>
      </w:r>
      <w:r>
        <w:rPr>
          <w:rFonts w:hint="eastAsia"/>
          <w:color w:val="auto"/>
          <w:kern w:val="2"/>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（5）掌握计算机应用基础知识和</w:t>
      </w:r>
      <w:r>
        <w:rPr>
          <w:rFonts w:hint="eastAsia" w:cs="宋体"/>
          <w:color w:val="auto"/>
        </w:rPr>
        <w:t>大数据分析、财务共享应用、智能财务机器人应用</w:t>
      </w:r>
      <w:r>
        <w:rPr>
          <w:rFonts w:hint="eastAsia"/>
          <w:color w:val="auto"/>
          <w:kern w:val="2"/>
        </w:rPr>
        <w:t>等专业信息技术的知识，熟悉简单的维护常识。</w:t>
      </w:r>
    </w:p>
    <w:p>
      <w:pPr>
        <w:pStyle w:val="7"/>
        <w:adjustRightInd w:val="0"/>
        <w:snapToGrid w:val="0"/>
        <w:spacing w:before="0" w:beforeAutospacing="0" w:after="0" w:afterAutospacing="0" w:line="500" w:lineRule="exact"/>
        <w:ind w:firstLine="460" w:firstLineChars="192"/>
        <w:jc w:val="both"/>
        <w:rPr>
          <w:rFonts w:cs="宋体"/>
          <w:bCs/>
          <w:color w:val="auto"/>
        </w:rPr>
      </w:pPr>
      <w:r>
        <w:rPr>
          <w:rFonts w:hint="eastAsia"/>
          <w:color w:val="auto"/>
          <w:kern w:val="2"/>
        </w:rPr>
        <w:t>（6）</w:t>
      </w:r>
      <w:r>
        <w:rPr>
          <w:rFonts w:hint="eastAsia" w:cs="宋体"/>
          <w:bCs/>
          <w:color w:val="auto"/>
        </w:rPr>
        <w:t>了解创业机会和创业风险类型，掌握商业模式开发的过程，设计策略及技巧，掌握开展创新创业活动所需要的基本知识。</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w:t>
      </w:r>
      <w:r>
        <w:rPr>
          <w:color w:val="auto"/>
          <w:kern w:val="2"/>
        </w:rPr>
        <w:t>.能力结构</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（1）具备企业会计各岗位业务核算的能力；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（2）具备较强的财务管理实践操作能力以及分析和解决财务实际问题的基本能力；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（3）具备利用大数据技术进行财务数据处理、分析判断和综合评价能力；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（4）具有较强的政策解读能力；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（5）具备</w:t>
      </w:r>
      <w:r>
        <w:rPr>
          <w:color w:val="auto"/>
          <w:kern w:val="2"/>
        </w:rPr>
        <w:t>对企业经营业务进行控制、分析评价</w:t>
      </w:r>
      <w:r>
        <w:rPr>
          <w:rFonts w:hint="eastAsia"/>
          <w:color w:val="auto"/>
          <w:kern w:val="2"/>
        </w:rPr>
        <w:t>和</w:t>
      </w:r>
      <w:r>
        <w:rPr>
          <w:color w:val="auto"/>
          <w:kern w:val="2"/>
        </w:rPr>
        <w:t>管理能力</w:t>
      </w:r>
      <w:r>
        <w:rPr>
          <w:rFonts w:hint="eastAsia"/>
          <w:color w:val="auto"/>
          <w:kern w:val="2"/>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（6）具有</w:t>
      </w:r>
      <w:r>
        <w:rPr>
          <w:color w:val="auto"/>
          <w:kern w:val="2"/>
        </w:rPr>
        <w:t>熟练的</w:t>
      </w:r>
      <w:r>
        <w:rPr>
          <w:rFonts w:hint="eastAsia"/>
          <w:color w:val="auto"/>
          <w:kern w:val="2"/>
        </w:rPr>
        <w:t>财务</w:t>
      </w:r>
      <w:r>
        <w:rPr>
          <w:color w:val="auto"/>
          <w:kern w:val="2"/>
        </w:rPr>
        <w:t>信息化处理能力</w:t>
      </w:r>
      <w:r>
        <w:rPr>
          <w:rFonts w:hint="eastAsia"/>
          <w:color w:val="auto"/>
          <w:kern w:val="2"/>
        </w:rPr>
        <w:t>和</w:t>
      </w:r>
      <w:r>
        <w:rPr>
          <w:color w:val="auto"/>
          <w:kern w:val="2"/>
        </w:rPr>
        <w:t>数字化运营能力</w:t>
      </w:r>
      <w:r>
        <w:rPr>
          <w:rFonts w:hint="eastAsia"/>
          <w:color w:val="auto"/>
          <w:kern w:val="2"/>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（7）具有熟练的办公自动化操作能力和文字处理能力；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（8）具有较强的人际沟通能力、语言表达能力、执行能力和应变能力。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（9）</w:t>
      </w:r>
      <w:r>
        <w:rPr>
          <w:rFonts w:hint="eastAsia" w:cs="宋体"/>
          <w:bCs/>
          <w:color w:val="auto"/>
        </w:rPr>
        <w:t>具备创业规划、市场营销、经营管理等必要的创业创新能力。</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3</w:t>
      </w:r>
      <w:r>
        <w:rPr>
          <w:color w:val="auto"/>
          <w:kern w:val="2"/>
        </w:rPr>
        <w:t>.素质结构</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（1）思想道德素质</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具有正确的世界观、人生观、价值观，遵纪守法，爱岗敬业，廉洁奉公，为人诚实、正直，处事公道，具有良好的职业道德和公共道德；</w:t>
      </w:r>
      <w:r>
        <w:rPr>
          <w:rFonts w:hint="eastAsia"/>
          <w:color w:val="auto"/>
        </w:rPr>
        <w:t>有正确的政治方向和社会责任感，愿为国家富强、民族振兴服务。</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（2）文化素质</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具备专业必需的文化基础，具有良好的文化修养和审美能力；能用得体的语言、文字和行为表达自己的意愿，具有社交能力和礼仪知识；有严谨务实、尽职尽责的工作作风。</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（3）身体和心理素质</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拥有健康的体魄，能适应岗位对体质的要求；具有健康的心理和乐观的人生态度；朝气蓬勃，积极向上，奋发进取；思路开阔、敏捷，善于处理突发问题。</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（4）业务素质</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具备诚实、守信等专业素养；具备从事财务管理职业岗位要求的职业道德和职业习惯；具有创新精神、自觉学习、继续学习、自我发展的态度和立业创业的意识，具有良好的职业道德和团队凝聚力；具有企业理性投资管理理念和数字化</w:t>
      </w:r>
      <w:r>
        <w:rPr>
          <w:color w:val="auto"/>
          <w:kern w:val="2"/>
        </w:rPr>
        <w:t>意识</w:t>
      </w:r>
      <w:r>
        <w:rPr>
          <w:rFonts w:hint="eastAsia"/>
          <w:color w:val="auto"/>
          <w:kern w:val="2"/>
        </w:rPr>
        <w:t>；具备防范、识别创业风险的素养和理性经营的理念，初步形成适应社会主义市场经济需要的就业观和人生观。</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（三）可考取的职业</w:t>
      </w:r>
      <w:r>
        <w:rPr>
          <w:color w:val="auto"/>
          <w:kern w:val="2"/>
        </w:rPr>
        <w:t>技能等级</w:t>
      </w:r>
      <w:r>
        <w:rPr>
          <w:rFonts w:hint="eastAsia"/>
          <w:color w:val="auto"/>
          <w:kern w:val="2"/>
        </w:rPr>
        <w:t>证书、职业资格证书</w:t>
      </w:r>
    </w:p>
    <w:p>
      <w:pPr>
        <w:pStyle w:val="7"/>
        <w:adjustRightInd w:val="0"/>
        <w:snapToGrid w:val="0"/>
        <w:spacing w:before="0" w:beforeAutospacing="0" w:after="0" w:afterAutospacing="0" w:line="500" w:lineRule="exact"/>
        <w:ind w:firstLine="480" w:firstLineChars="200"/>
        <w:jc w:val="both"/>
        <w:rPr>
          <w:color w:val="auto"/>
          <w:kern w:val="2"/>
        </w:rPr>
      </w:pPr>
      <w:r>
        <w:rPr>
          <w:color w:val="auto"/>
          <w:kern w:val="2"/>
        </w:rPr>
        <w:t>本专业可以取得的</w:t>
      </w:r>
      <w:r>
        <w:rPr>
          <w:rFonts w:hint="eastAsia"/>
          <w:color w:val="auto"/>
          <w:kern w:val="2"/>
        </w:rPr>
        <w:t>职业</w:t>
      </w:r>
      <w:r>
        <w:rPr>
          <w:color w:val="auto"/>
          <w:kern w:val="2"/>
        </w:rPr>
        <w:t>技能等级</w:t>
      </w:r>
      <w:r>
        <w:rPr>
          <w:rFonts w:hint="eastAsia"/>
          <w:color w:val="auto"/>
          <w:kern w:val="2"/>
        </w:rPr>
        <w:t>证书、职业资格证书</w:t>
      </w:r>
      <w:r>
        <w:rPr>
          <w:color w:val="auto"/>
          <w:kern w:val="2"/>
        </w:rPr>
        <w:t>，如下表所示：</w:t>
      </w:r>
    </w:p>
    <w:p>
      <w:pPr>
        <w:pStyle w:val="7"/>
        <w:adjustRightInd w:val="0"/>
        <w:snapToGrid w:val="0"/>
        <w:spacing w:before="0" w:beforeAutospacing="0" w:after="0" w:afterAutospacing="0" w:line="480" w:lineRule="exact"/>
        <w:ind w:firstLine="460" w:firstLineChars="192"/>
        <w:jc w:val="center"/>
        <w:rPr>
          <w:color w:val="auto"/>
          <w:kern w:val="2"/>
        </w:rPr>
      </w:pPr>
      <w:r>
        <w:rPr>
          <w:rFonts w:hint="eastAsia" w:cs="宋体"/>
          <w:color w:val="auto"/>
          <w:kern w:val="2"/>
        </w:rPr>
        <w:t>表2  本专业可考取的证书</w:t>
      </w:r>
    </w:p>
    <w:tbl>
      <w:tblPr>
        <w:tblStyle w:val="8"/>
        <w:tblW w:w="85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995"/>
        <w:gridCol w:w="2004"/>
        <w:gridCol w:w="1308"/>
        <w:gridCol w:w="196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94" w:type="dxa"/>
            <w:vAlign w:val="center"/>
          </w:tcPr>
          <w:p>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序号</w:t>
            </w:r>
          </w:p>
        </w:tc>
        <w:tc>
          <w:tcPr>
            <w:tcW w:w="1995" w:type="dxa"/>
            <w:vAlign w:val="center"/>
          </w:tcPr>
          <w:p>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证书名称</w:t>
            </w:r>
          </w:p>
        </w:tc>
        <w:tc>
          <w:tcPr>
            <w:tcW w:w="2004" w:type="dxa"/>
            <w:vAlign w:val="center"/>
          </w:tcPr>
          <w:p>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发证机构</w:t>
            </w:r>
          </w:p>
        </w:tc>
        <w:tc>
          <w:tcPr>
            <w:tcW w:w="1308" w:type="dxa"/>
            <w:vAlign w:val="center"/>
          </w:tcPr>
          <w:p>
            <w:pPr>
              <w:adjustRightInd w:val="0"/>
              <w:snapToGrid w:val="0"/>
              <w:spacing w:line="240" w:lineRule="exact"/>
              <w:jc w:val="center"/>
              <w:rPr>
                <w:rFonts w:ascii="宋体" w:hAnsi="宋体"/>
                <w:color w:val="auto"/>
                <w:sz w:val="24"/>
              </w:rPr>
            </w:pPr>
            <w:r>
              <w:rPr>
                <w:rFonts w:hint="eastAsia" w:ascii="宋体" w:hAnsi="宋体"/>
                <w:color w:val="auto"/>
                <w:sz w:val="24"/>
              </w:rPr>
              <w:t>考证时间</w:t>
            </w:r>
          </w:p>
        </w:tc>
        <w:tc>
          <w:tcPr>
            <w:tcW w:w="1968" w:type="dxa"/>
            <w:vAlign w:val="center"/>
          </w:tcPr>
          <w:p>
            <w:pPr>
              <w:adjustRightInd w:val="0"/>
              <w:snapToGrid w:val="0"/>
              <w:spacing w:line="240" w:lineRule="exact"/>
              <w:jc w:val="center"/>
              <w:rPr>
                <w:rFonts w:ascii="宋体" w:hAnsi="宋体"/>
                <w:color w:val="auto"/>
                <w:sz w:val="24"/>
              </w:rPr>
            </w:pPr>
            <w:r>
              <w:rPr>
                <w:rFonts w:hint="eastAsia" w:ascii="宋体" w:hAnsi="宋体"/>
                <w:color w:val="auto"/>
                <w:sz w:val="24"/>
              </w:rPr>
              <w:t>课证融合的课程</w:t>
            </w:r>
          </w:p>
        </w:tc>
        <w:tc>
          <w:tcPr>
            <w:tcW w:w="851" w:type="dxa"/>
            <w:vAlign w:val="center"/>
          </w:tcPr>
          <w:p>
            <w:pPr>
              <w:widowControl/>
              <w:spacing w:line="240" w:lineRule="atLeast"/>
              <w:jc w:val="left"/>
              <w:rPr>
                <w:rFonts w:ascii="宋体" w:hAnsi="宋体" w:cs="宋体"/>
                <w:color w:val="auto"/>
                <w:kern w:val="0"/>
                <w:sz w:val="24"/>
              </w:rPr>
            </w:pPr>
            <w:r>
              <w:rPr>
                <w:rFonts w:hint="eastAsia" w:ascii="宋体" w:hAnsi="宋体" w:cs="宋体"/>
                <w:color w:val="auto"/>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w:t>
            </w:r>
          </w:p>
        </w:tc>
        <w:tc>
          <w:tcPr>
            <w:tcW w:w="1995" w:type="dxa"/>
            <w:vAlign w:val="center"/>
          </w:tcPr>
          <w:p>
            <w:pPr>
              <w:widowControl/>
              <w:spacing w:line="240" w:lineRule="atLeast"/>
              <w:jc w:val="left"/>
              <w:rPr>
                <w:rFonts w:ascii="宋体" w:hAnsi="宋体" w:cs="宋体"/>
                <w:color w:val="auto"/>
                <w:kern w:val="0"/>
                <w:szCs w:val="21"/>
              </w:rPr>
            </w:pPr>
            <w:r>
              <w:rPr>
                <w:rFonts w:cs="宋体"/>
                <w:color w:val="auto"/>
                <w:kern w:val="0"/>
                <w:szCs w:val="21"/>
              </w:rPr>
              <w:t>会计专业技术资格证书</w:t>
            </w:r>
            <w:r>
              <w:rPr>
                <w:rFonts w:hint="eastAsia" w:cs="宋体"/>
                <w:color w:val="auto"/>
                <w:kern w:val="0"/>
                <w:szCs w:val="21"/>
              </w:rPr>
              <w:t>（初级）</w:t>
            </w:r>
          </w:p>
        </w:tc>
        <w:tc>
          <w:tcPr>
            <w:tcW w:w="2004" w:type="dxa"/>
            <w:vAlign w:val="center"/>
          </w:tcPr>
          <w:p>
            <w:pPr>
              <w:widowControl/>
              <w:spacing w:line="240" w:lineRule="atLeast"/>
              <w:jc w:val="left"/>
              <w:rPr>
                <w:rFonts w:ascii="宋体" w:hAnsi="宋体"/>
                <w:color w:val="auto"/>
                <w:szCs w:val="21"/>
              </w:rPr>
            </w:pPr>
            <w:r>
              <w:rPr>
                <w:rFonts w:hint="eastAsia" w:ascii="宋体" w:hAnsi="宋体"/>
                <w:color w:val="auto"/>
                <w:szCs w:val="21"/>
              </w:rPr>
              <w:t>中华人民</w:t>
            </w:r>
            <w:r>
              <w:rPr>
                <w:rFonts w:ascii="宋体" w:hAnsi="宋体"/>
                <w:color w:val="auto"/>
                <w:szCs w:val="21"/>
              </w:rPr>
              <w:t>共和国</w:t>
            </w:r>
            <w:r>
              <w:rPr>
                <w:rFonts w:hint="eastAsia" w:ascii="宋体" w:hAnsi="宋体"/>
                <w:color w:val="auto"/>
                <w:szCs w:val="21"/>
              </w:rPr>
              <w:t>人力资源和社会保障部</w:t>
            </w:r>
          </w:p>
          <w:p>
            <w:pPr>
              <w:widowControl/>
              <w:spacing w:line="240" w:lineRule="atLeast"/>
              <w:jc w:val="left"/>
              <w:rPr>
                <w:rFonts w:ascii="宋体" w:hAnsi="宋体" w:cs="宋体"/>
                <w:color w:val="auto"/>
                <w:kern w:val="0"/>
                <w:szCs w:val="21"/>
              </w:rPr>
            </w:pPr>
            <w:r>
              <w:rPr>
                <w:rFonts w:hint="eastAsia" w:ascii="宋体" w:hAnsi="宋体"/>
                <w:color w:val="auto"/>
                <w:szCs w:val="21"/>
              </w:rPr>
              <w:t>中华</w:t>
            </w:r>
            <w:r>
              <w:rPr>
                <w:rFonts w:ascii="宋体" w:hAnsi="宋体"/>
                <w:color w:val="auto"/>
                <w:szCs w:val="21"/>
              </w:rPr>
              <w:t>人民共和国财政部</w:t>
            </w:r>
          </w:p>
        </w:tc>
        <w:tc>
          <w:tcPr>
            <w:tcW w:w="1308" w:type="dxa"/>
            <w:vAlign w:val="center"/>
          </w:tcPr>
          <w:p>
            <w:pPr>
              <w:tabs>
                <w:tab w:val="left" w:pos="2590"/>
              </w:tabs>
              <w:spacing w:line="240" w:lineRule="atLeast"/>
              <w:rPr>
                <w:rFonts w:ascii="宋体" w:hAnsi="宋体" w:cs="宋体"/>
                <w:color w:val="auto"/>
                <w:szCs w:val="21"/>
              </w:rPr>
            </w:pPr>
            <w:r>
              <w:rPr>
                <w:rFonts w:hint="eastAsia" w:ascii="宋体" w:hAnsi="宋体"/>
                <w:color w:val="auto"/>
                <w:szCs w:val="21"/>
              </w:rPr>
              <w:t>建议学生在</w:t>
            </w:r>
            <w:r>
              <w:rPr>
                <w:rFonts w:hint="eastAsia" w:ascii="宋体" w:hAnsi="宋体" w:cs="宋体"/>
                <w:color w:val="auto"/>
                <w:szCs w:val="21"/>
              </w:rPr>
              <w:t>第二、</w:t>
            </w:r>
            <w:r>
              <w:rPr>
                <w:rFonts w:ascii="宋体" w:hAnsi="宋体" w:cs="宋体"/>
                <w:color w:val="auto"/>
                <w:szCs w:val="21"/>
              </w:rPr>
              <w:t>四</w:t>
            </w:r>
            <w:r>
              <w:rPr>
                <w:rFonts w:hint="eastAsia" w:ascii="宋体" w:hAnsi="宋体" w:cs="宋体"/>
                <w:color w:val="auto"/>
                <w:szCs w:val="21"/>
              </w:rPr>
              <w:t>、</w:t>
            </w:r>
            <w:r>
              <w:rPr>
                <w:rFonts w:ascii="宋体" w:hAnsi="宋体" w:cs="宋体"/>
                <w:color w:val="auto"/>
                <w:szCs w:val="21"/>
              </w:rPr>
              <w:t>六</w:t>
            </w:r>
            <w:r>
              <w:rPr>
                <w:rFonts w:hint="eastAsia" w:ascii="宋体" w:hAnsi="宋体" w:cs="宋体"/>
                <w:color w:val="auto"/>
                <w:szCs w:val="21"/>
              </w:rPr>
              <w:t>学期</w:t>
            </w:r>
            <w:r>
              <w:rPr>
                <w:rFonts w:hint="eastAsia" w:ascii="宋体" w:hAnsi="宋体"/>
                <w:color w:val="auto"/>
                <w:szCs w:val="21"/>
              </w:rPr>
              <w:t>参加考试</w:t>
            </w:r>
          </w:p>
        </w:tc>
        <w:tc>
          <w:tcPr>
            <w:tcW w:w="1968" w:type="dxa"/>
            <w:vAlign w:val="center"/>
          </w:tcPr>
          <w:p>
            <w:pPr>
              <w:tabs>
                <w:tab w:val="left" w:pos="2590"/>
              </w:tabs>
              <w:spacing w:line="240" w:lineRule="atLeast"/>
              <w:rPr>
                <w:rFonts w:ascii="宋体" w:hAnsi="宋体" w:cs="宋体"/>
                <w:color w:val="auto"/>
                <w:szCs w:val="21"/>
              </w:rPr>
            </w:pPr>
            <w:r>
              <w:rPr>
                <w:rFonts w:hint="eastAsia" w:ascii="宋体" w:hAnsi="宋体" w:cs="宋体"/>
                <w:color w:val="auto"/>
                <w:szCs w:val="21"/>
              </w:rPr>
              <w:t>财务会计、经济法基础</w:t>
            </w:r>
          </w:p>
        </w:tc>
        <w:tc>
          <w:tcPr>
            <w:tcW w:w="851" w:type="dxa"/>
            <w:vMerge w:val="restart"/>
            <w:vAlign w:val="center"/>
          </w:tcPr>
          <w:p>
            <w:pPr>
              <w:spacing w:line="240" w:lineRule="atLeast"/>
              <w:rPr>
                <w:rFonts w:ascii="宋体" w:hAnsi="宋体"/>
                <w:color w:val="auto"/>
                <w:szCs w:val="21"/>
              </w:rPr>
            </w:pPr>
            <w:r>
              <w:rPr>
                <w:rFonts w:hint="eastAsia" w:ascii="宋体" w:hAnsi="宋体"/>
                <w:color w:val="auto"/>
                <w:szCs w:val="21"/>
              </w:rPr>
              <w:t>至少考取其中一个证书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2</w:t>
            </w:r>
          </w:p>
        </w:tc>
        <w:tc>
          <w:tcPr>
            <w:tcW w:w="1995" w:type="dxa"/>
            <w:vAlign w:val="center"/>
          </w:tcPr>
          <w:p>
            <w:pPr>
              <w:tabs>
                <w:tab w:val="left" w:pos="2590"/>
              </w:tabs>
              <w:spacing w:line="240" w:lineRule="atLeast"/>
              <w:jc w:val="left"/>
              <w:rPr>
                <w:rFonts w:ascii="宋体" w:hAnsi="宋体"/>
                <w:color w:val="auto"/>
                <w:szCs w:val="21"/>
              </w:rPr>
            </w:pPr>
            <w:r>
              <w:rPr>
                <w:rFonts w:hint="eastAsia" w:ascii="宋体" w:hAnsi="宋体"/>
                <w:color w:val="auto"/>
                <w:szCs w:val="21"/>
              </w:rPr>
              <w:t>财务数字化应用职业技能等级证书</w:t>
            </w:r>
          </w:p>
        </w:tc>
        <w:tc>
          <w:tcPr>
            <w:tcW w:w="2004" w:type="dxa"/>
            <w:vAlign w:val="center"/>
          </w:tcPr>
          <w:p>
            <w:pPr>
              <w:tabs>
                <w:tab w:val="left" w:pos="2590"/>
              </w:tabs>
              <w:spacing w:line="240" w:lineRule="atLeast"/>
              <w:jc w:val="left"/>
              <w:rPr>
                <w:rFonts w:ascii="宋体" w:hAnsi="宋体" w:cs="宋体"/>
                <w:color w:val="auto"/>
                <w:szCs w:val="21"/>
              </w:rPr>
            </w:pPr>
            <w:r>
              <w:rPr>
                <w:rFonts w:hint="eastAsia" w:ascii="宋体" w:hAnsi="宋体" w:cs="宋体"/>
                <w:color w:val="auto"/>
                <w:szCs w:val="21"/>
              </w:rPr>
              <w:t>新道科技股份有限公司</w:t>
            </w:r>
          </w:p>
        </w:tc>
        <w:tc>
          <w:tcPr>
            <w:tcW w:w="1308" w:type="dxa"/>
            <w:vAlign w:val="center"/>
          </w:tcPr>
          <w:p>
            <w:pPr>
              <w:tabs>
                <w:tab w:val="left" w:pos="2590"/>
              </w:tabs>
              <w:spacing w:line="240" w:lineRule="atLeast"/>
              <w:jc w:val="center"/>
              <w:rPr>
                <w:rFonts w:ascii="宋体" w:hAnsi="宋体"/>
                <w:color w:val="auto"/>
                <w:szCs w:val="21"/>
              </w:rPr>
            </w:pPr>
            <w:r>
              <w:rPr>
                <w:rFonts w:hint="eastAsia" w:ascii="宋体" w:hAnsi="宋体" w:cs="宋体"/>
                <w:bCs/>
                <w:color w:val="auto"/>
                <w:szCs w:val="21"/>
              </w:rPr>
              <w:t>建议学生</w:t>
            </w:r>
            <w:r>
              <w:rPr>
                <w:rFonts w:hint="eastAsia" w:ascii="宋体" w:hAnsi="宋体"/>
                <w:color w:val="auto"/>
                <w:szCs w:val="21"/>
              </w:rPr>
              <w:t>第三、四学期参加考试</w:t>
            </w:r>
          </w:p>
        </w:tc>
        <w:tc>
          <w:tcPr>
            <w:tcW w:w="1968" w:type="dxa"/>
            <w:vAlign w:val="center"/>
          </w:tcPr>
          <w:p>
            <w:pPr>
              <w:tabs>
                <w:tab w:val="left" w:pos="2590"/>
              </w:tabs>
              <w:spacing w:line="240" w:lineRule="atLeast"/>
              <w:rPr>
                <w:rFonts w:ascii="宋体" w:hAnsi="宋体" w:cs="宋体"/>
                <w:color w:val="auto"/>
                <w:szCs w:val="21"/>
              </w:rPr>
            </w:pPr>
            <w:r>
              <w:rPr>
                <w:rFonts w:hint="eastAsia" w:ascii="宋体" w:hAnsi="宋体" w:cs="宋体"/>
                <w:color w:val="auto"/>
                <w:szCs w:val="21"/>
              </w:rPr>
              <w:t>财务会计、税务实务与筹划、智能财务应用、财务共享应用、工程财务管理、管理会计</w:t>
            </w:r>
          </w:p>
        </w:tc>
        <w:tc>
          <w:tcPr>
            <w:tcW w:w="851" w:type="dxa"/>
            <w:vMerge w:val="continue"/>
            <w:vAlign w:val="center"/>
          </w:tcPr>
          <w:p>
            <w:pPr>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1995" w:type="dxa"/>
            <w:vAlign w:val="center"/>
          </w:tcPr>
          <w:p>
            <w:pPr>
              <w:tabs>
                <w:tab w:val="left" w:pos="2590"/>
              </w:tabs>
              <w:spacing w:line="240" w:lineRule="atLeast"/>
              <w:jc w:val="left"/>
              <w:rPr>
                <w:rFonts w:ascii="宋体" w:hAnsi="宋体"/>
                <w:color w:val="auto"/>
                <w:szCs w:val="21"/>
              </w:rPr>
            </w:pPr>
            <w:r>
              <w:rPr>
                <w:rFonts w:hint="eastAsia" w:ascii="宋体" w:hAnsi="宋体"/>
                <w:color w:val="auto"/>
                <w:szCs w:val="21"/>
              </w:rPr>
              <w:t>业财一体信息化应用职业技能等级证书</w:t>
            </w:r>
          </w:p>
        </w:tc>
        <w:tc>
          <w:tcPr>
            <w:tcW w:w="2004" w:type="dxa"/>
            <w:vAlign w:val="center"/>
          </w:tcPr>
          <w:p>
            <w:pPr>
              <w:tabs>
                <w:tab w:val="left" w:pos="2590"/>
              </w:tabs>
              <w:spacing w:line="240" w:lineRule="atLeast"/>
              <w:jc w:val="left"/>
              <w:rPr>
                <w:rFonts w:ascii="宋体" w:hAnsi="宋体" w:cs="宋体"/>
                <w:color w:val="auto"/>
                <w:szCs w:val="21"/>
              </w:rPr>
            </w:pPr>
            <w:r>
              <w:rPr>
                <w:rFonts w:hint="eastAsia" w:ascii="宋体" w:hAnsi="宋体" w:cs="宋体"/>
                <w:color w:val="auto"/>
                <w:szCs w:val="21"/>
              </w:rPr>
              <w:t>新道科技股份有限公司</w:t>
            </w:r>
          </w:p>
        </w:tc>
        <w:tc>
          <w:tcPr>
            <w:tcW w:w="1308" w:type="dxa"/>
            <w:vAlign w:val="center"/>
          </w:tcPr>
          <w:p>
            <w:pPr>
              <w:tabs>
                <w:tab w:val="left" w:pos="2590"/>
              </w:tabs>
              <w:spacing w:line="240" w:lineRule="atLeast"/>
              <w:jc w:val="center"/>
              <w:rPr>
                <w:color w:val="auto"/>
                <w:szCs w:val="21"/>
              </w:rPr>
            </w:pPr>
            <w:r>
              <w:rPr>
                <w:rFonts w:hint="eastAsia" w:ascii="宋体" w:hAnsi="宋体" w:cs="宋体"/>
                <w:bCs/>
                <w:color w:val="auto"/>
                <w:szCs w:val="21"/>
              </w:rPr>
              <w:t>建议学生</w:t>
            </w:r>
            <w:r>
              <w:rPr>
                <w:rFonts w:hint="eastAsia" w:ascii="宋体" w:hAnsi="宋体"/>
                <w:color w:val="auto"/>
                <w:szCs w:val="21"/>
              </w:rPr>
              <w:t>第三、四学期参加考试</w:t>
            </w:r>
          </w:p>
        </w:tc>
        <w:tc>
          <w:tcPr>
            <w:tcW w:w="1968" w:type="dxa"/>
            <w:vAlign w:val="center"/>
          </w:tcPr>
          <w:p>
            <w:pPr>
              <w:tabs>
                <w:tab w:val="left" w:pos="2590"/>
              </w:tabs>
              <w:spacing w:line="240" w:lineRule="atLeast"/>
              <w:rPr>
                <w:rFonts w:ascii="宋体" w:hAnsi="宋体" w:cs="宋体"/>
                <w:color w:val="auto"/>
                <w:szCs w:val="21"/>
              </w:rPr>
            </w:pPr>
            <w:r>
              <w:rPr>
                <w:rFonts w:hint="eastAsia" w:ascii="宋体" w:hAnsi="宋体" w:cs="宋体"/>
                <w:color w:val="auto"/>
                <w:szCs w:val="21"/>
              </w:rPr>
              <w:t>财务会计、税务实务与筹划、智能财务应用、财务分析</w:t>
            </w:r>
          </w:p>
        </w:tc>
        <w:tc>
          <w:tcPr>
            <w:tcW w:w="851" w:type="dxa"/>
            <w:vMerge w:val="continue"/>
            <w:vAlign w:val="center"/>
          </w:tcPr>
          <w:p>
            <w:pPr>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4</w:t>
            </w:r>
          </w:p>
        </w:tc>
        <w:tc>
          <w:tcPr>
            <w:tcW w:w="1995" w:type="dxa"/>
            <w:vAlign w:val="center"/>
          </w:tcPr>
          <w:p>
            <w:pPr>
              <w:tabs>
                <w:tab w:val="left" w:pos="2590"/>
              </w:tabs>
              <w:jc w:val="left"/>
              <w:rPr>
                <w:bCs/>
                <w:color w:val="auto"/>
                <w:szCs w:val="21"/>
              </w:rPr>
            </w:pPr>
            <w:r>
              <w:rPr>
                <w:rFonts w:hint="eastAsia"/>
                <w:bCs/>
                <w:color w:val="auto"/>
                <w:szCs w:val="21"/>
              </w:rPr>
              <w:t>财务共享服务职业技能等级证书</w:t>
            </w:r>
          </w:p>
        </w:tc>
        <w:tc>
          <w:tcPr>
            <w:tcW w:w="2004" w:type="dxa"/>
            <w:vAlign w:val="center"/>
          </w:tcPr>
          <w:p>
            <w:pPr>
              <w:tabs>
                <w:tab w:val="left" w:pos="2590"/>
              </w:tabs>
              <w:jc w:val="left"/>
              <w:rPr>
                <w:rFonts w:ascii="宋体" w:hAnsi="宋体"/>
                <w:color w:val="auto"/>
                <w:szCs w:val="21"/>
              </w:rPr>
            </w:pPr>
            <w:r>
              <w:rPr>
                <w:rFonts w:hint="eastAsia" w:ascii="宋体" w:hAnsi="宋体"/>
                <w:color w:val="auto"/>
                <w:szCs w:val="21"/>
              </w:rPr>
              <w:t>北京东大正保科技有限公司</w:t>
            </w:r>
          </w:p>
        </w:tc>
        <w:tc>
          <w:tcPr>
            <w:tcW w:w="1308" w:type="dxa"/>
            <w:vAlign w:val="center"/>
          </w:tcPr>
          <w:p>
            <w:pPr>
              <w:tabs>
                <w:tab w:val="left" w:pos="2590"/>
              </w:tabs>
              <w:spacing w:line="240" w:lineRule="atLeast"/>
              <w:jc w:val="center"/>
              <w:rPr>
                <w:rFonts w:ascii="宋体" w:hAnsi="宋体" w:cs="宋体"/>
                <w:bCs/>
                <w:color w:val="auto"/>
                <w:szCs w:val="21"/>
              </w:rPr>
            </w:pPr>
            <w:r>
              <w:rPr>
                <w:rFonts w:hint="eastAsia" w:ascii="宋体" w:hAnsi="宋体" w:cs="宋体"/>
                <w:bCs/>
                <w:color w:val="auto"/>
                <w:szCs w:val="21"/>
              </w:rPr>
              <w:t>建议学生</w:t>
            </w:r>
            <w:r>
              <w:rPr>
                <w:rFonts w:hint="eastAsia" w:ascii="宋体" w:hAnsi="宋体"/>
                <w:color w:val="auto"/>
                <w:szCs w:val="21"/>
              </w:rPr>
              <w:t>第三、四学期参加考试</w:t>
            </w:r>
          </w:p>
        </w:tc>
        <w:tc>
          <w:tcPr>
            <w:tcW w:w="1968" w:type="dxa"/>
            <w:vAlign w:val="center"/>
          </w:tcPr>
          <w:p>
            <w:pPr>
              <w:tabs>
                <w:tab w:val="left" w:pos="2590"/>
              </w:tabs>
              <w:spacing w:line="240" w:lineRule="atLeast"/>
              <w:rPr>
                <w:rFonts w:ascii="宋体" w:hAnsi="宋体" w:cs="宋体"/>
                <w:color w:val="auto"/>
                <w:szCs w:val="21"/>
              </w:rPr>
            </w:pPr>
            <w:r>
              <w:rPr>
                <w:rFonts w:hint="eastAsia" w:ascii="宋体" w:hAnsi="宋体" w:cs="宋体"/>
                <w:color w:val="auto"/>
                <w:szCs w:val="21"/>
              </w:rPr>
              <w:t>财务会计、税务实务与筹划、智能财务应用、</w:t>
            </w:r>
            <w:r>
              <w:rPr>
                <w:rFonts w:hint="eastAsia"/>
                <w:color w:val="auto"/>
              </w:rPr>
              <w:t>财务共享应用</w:t>
            </w:r>
          </w:p>
        </w:tc>
        <w:tc>
          <w:tcPr>
            <w:tcW w:w="851" w:type="dxa"/>
            <w:vMerge w:val="continue"/>
            <w:vAlign w:val="center"/>
          </w:tcPr>
          <w:p>
            <w:pPr>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5</w:t>
            </w:r>
          </w:p>
        </w:tc>
        <w:tc>
          <w:tcPr>
            <w:tcW w:w="1995" w:type="dxa"/>
            <w:vAlign w:val="center"/>
          </w:tcPr>
          <w:p>
            <w:pPr>
              <w:tabs>
                <w:tab w:val="left" w:pos="2590"/>
              </w:tabs>
              <w:adjustRightInd w:val="0"/>
              <w:snapToGrid w:val="0"/>
              <w:jc w:val="center"/>
              <w:rPr>
                <w:rFonts w:ascii="宋体" w:hAnsi="宋体" w:cs="宋体"/>
                <w:color w:val="auto"/>
                <w:szCs w:val="21"/>
              </w:rPr>
            </w:pPr>
            <w:r>
              <w:rPr>
                <w:rFonts w:hint="eastAsia" w:ascii="宋体" w:hAnsi="宋体" w:cs="宋体"/>
                <w:color w:val="auto"/>
                <w:szCs w:val="21"/>
              </w:rPr>
              <w:t>大数据财务分析职业技能等级证书</w:t>
            </w:r>
          </w:p>
        </w:tc>
        <w:tc>
          <w:tcPr>
            <w:tcW w:w="2004" w:type="dxa"/>
            <w:vAlign w:val="center"/>
          </w:tcPr>
          <w:p>
            <w:pPr>
              <w:tabs>
                <w:tab w:val="left" w:pos="2590"/>
              </w:tabs>
              <w:adjustRightInd w:val="0"/>
              <w:snapToGrid w:val="0"/>
              <w:jc w:val="center"/>
              <w:rPr>
                <w:rFonts w:ascii="宋体" w:hAnsi="宋体" w:cs="宋体"/>
                <w:color w:val="auto"/>
                <w:szCs w:val="21"/>
              </w:rPr>
            </w:pPr>
            <w:r>
              <w:rPr>
                <w:rFonts w:hint="eastAsia" w:ascii="宋体" w:hAnsi="宋体" w:cs="宋体"/>
                <w:color w:val="auto"/>
                <w:szCs w:val="21"/>
              </w:rPr>
              <w:t>北京首冠教育科技集团有限公司</w:t>
            </w:r>
          </w:p>
        </w:tc>
        <w:tc>
          <w:tcPr>
            <w:tcW w:w="1308" w:type="dxa"/>
            <w:vAlign w:val="center"/>
          </w:tcPr>
          <w:p>
            <w:pPr>
              <w:tabs>
                <w:tab w:val="left" w:pos="2590"/>
              </w:tabs>
              <w:adjustRightInd w:val="0"/>
              <w:snapToGrid w:val="0"/>
              <w:jc w:val="center"/>
              <w:rPr>
                <w:rFonts w:ascii="宋体" w:hAnsi="宋体" w:cs="宋体"/>
                <w:color w:val="auto"/>
                <w:szCs w:val="21"/>
              </w:rPr>
            </w:pPr>
            <w:r>
              <w:rPr>
                <w:rFonts w:hint="eastAsia" w:ascii="宋体" w:hAnsi="宋体" w:cs="宋体"/>
                <w:color w:val="auto"/>
                <w:szCs w:val="21"/>
              </w:rPr>
              <w:t>建议第四、五学期参加考试</w:t>
            </w:r>
          </w:p>
        </w:tc>
        <w:tc>
          <w:tcPr>
            <w:tcW w:w="1968" w:type="dxa"/>
            <w:vAlign w:val="center"/>
          </w:tcPr>
          <w:p>
            <w:pPr>
              <w:tabs>
                <w:tab w:val="left" w:pos="2590"/>
              </w:tabs>
              <w:adjustRightInd w:val="0"/>
              <w:snapToGrid w:val="0"/>
              <w:jc w:val="center"/>
              <w:rPr>
                <w:rFonts w:ascii="宋体" w:hAnsi="宋体" w:cs="宋体"/>
                <w:color w:val="auto"/>
                <w:szCs w:val="21"/>
              </w:rPr>
            </w:pPr>
            <w:r>
              <w:rPr>
                <w:rFonts w:hint="eastAsia" w:ascii="宋体" w:hAnsi="宋体" w:cs="宋体"/>
                <w:color w:val="auto"/>
                <w:kern w:val="0"/>
                <w:szCs w:val="21"/>
              </w:rPr>
              <w:t>智能财务机器人应用、</w:t>
            </w:r>
            <w:r>
              <w:rPr>
                <w:rFonts w:hint="eastAsia" w:ascii="宋体" w:hAnsi="宋体"/>
                <w:color w:val="auto"/>
                <w:szCs w:val="21"/>
              </w:rPr>
              <w:t>大数据财务分析</w:t>
            </w:r>
          </w:p>
        </w:tc>
        <w:tc>
          <w:tcPr>
            <w:tcW w:w="851" w:type="dxa"/>
            <w:vMerge w:val="continue"/>
            <w:vAlign w:val="center"/>
          </w:tcPr>
          <w:p>
            <w:pPr>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6</w:t>
            </w:r>
          </w:p>
        </w:tc>
        <w:tc>
          <w:tcPr>
            <w:tcW w:w="1995" w:type="dxa"/>
            <w:vAlign w:val="center"/>
          </w:tcPr>
          <w:p>
            <w:pPr>
              <w:widowControl/>
              <w:jc w:val="left"/>
              <w:rPr>
                <w:rFonts w:ascii="宋体" w:hAnsi="宋体" w:cs="宋体"/>
                <w:color w:val="auto"/>
                <w:kern w:val="0"/>
                <w:szCs w:val="21"/>
              </w:rPr>
            </w:pPr>
            <w:r>
              <w:rPr>
                <w:rFonts w:hint="eastAsia"/>
                <w:bCs/>
                <w:color w:val="auto"/>
                <w:szCs w:val="21"/>
              </w:rPr>
              <w:t>全国</w:t>
            </w:r>
            <w:r>
              <w:rPr>
                <w:bCs/>
                <w:color w:val="auto"/>
                <w:szCs w:val="21"/>
              </w:rPr>
              <w:t>信息化工程师</w:t>
            </w:r>
            <w:r>
              <w:rPr>
                <w:rFonts w:hint="eastAsia" w:ascii="宋体" w:hAnsi="宋体" w:cs="宋体"/>
                <w:bCs/>
                <w:color w:val="auto"/>
                <w:szCs w:val="21"/>
              </w:rPr>
              <w:t>ERP</w:t>
            </w:r>
            <w:r>
              <w:rPr>
                <w:rFonts w:hint="eastAsia" w:ascii="宋体" w:hAnsi="宋体" w:cs="宋体"/>
                <w:color w:val="auto"/>
                <w:kern w:val="0"/>
                <w:szCs w:val="21"/>
              </w:rPr>
              <w:t>应用资格证书</w:t>
            </w:r>
          </w:p>
        </w:tc>
        <w:tc>
          <w:tcPr>
            <w:tcW w:w="2004" w:type="dxa"/>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工业和</w:t>
            </w:r>
            <w:r>
              <w:rPr>
                <w:rFonts w:ascii="宋体" w:hAnsi="宋体" w:cs="宋体"/>
                <w:color w:val="auto"/>
                <w:kern w:val="0"/>
                <w:szCs w:val="21"/>
              </w:rPr>
              <w:t>信息化</w:t>
            </w:r>
            <w:r>
              <w:rPr>
                <w:rFonts w:hint="eastAsia" w:ascii="宋体" w:hAnsi="宋体" w:cs="宋体"/>
                <w:color w:val="auto"/>
                <w:kern w:val="0"/>
                <w:szCs w:val="21"/>
              </w:rPr>
              <w:t>部人才交流中心</w:t>
            </w:r>
          </w:p>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用友软件股份</w:t>
            </w:r>
            <w:r>
              <w:rPr>
                <w:rFonts w:ascii="宋体" w:hAnsi="宋体" w:cs="宋体"/>
                <w:color w:val="auto"/>
                <w:kern w:val="0"/>
                <w:szCs w:val="21"/>
              </w:rPr>
              <w:t>有限</w:t>
            </w:r>
            <w:r>
              <w:rPr>
                <w:rFonts w:hint="eastAsia" w:ascii="宋体" w:hAnsi="宋体" w:cs="宋体"/>
                <w:color w:val="auto"/>
                <w:kern w:val="0"/>
                <w:szCs w:val="21"/>
              </w:rPr>
              <w:t>公司</w:t>
            </w:r>
          </w:p>
        </w:tc>
        <w:tc>
          <w:tcPr>
            <w:tcW w:w="1308" w:type="dxa"/>
            <w:vAlign w:val="center"/>
          </w:tcPr>
          <w:p>
            <w:pPr>
              <w:tabs>
                <w:tab w:val="left" w:pos="2590"/>
              </w:tabs>
              <w:spacing w:line="240" w:lineRule="atLeast"/>
              <w:rPr>
                <w:rFonts w:ascii="宋体" w:hAnsi="宋体" w:cs="宋体"/>
                <w:bCs/>
                <w:color w:val="auto"/>
                <w:szCs w:val="21"/>
              </w:rPr>
            </w:pPr>
            <w:r>
              <w:rPr>
                <w:rFonts w:hint="eastAsia" w:ascii="宋体" w:hAnsi="宋体" w:cs="宋体"/>
                <w:bCs/>
                <w:color w:val="auto"/>
                <w:szCs w:val="21"/>
              </w:rPr>
              <w:t>建议学生在第二、三学期</w:t>
            </w:r>
            <w:r>
              <w:rPr>
                <w:rFonts w:hint="eastAsia" w:ascii="宋体" w:hAnsi="宋体"/>
                <w:color w:val="auto"/>
                <w:szCs w:val="21"/>
              </w:rPr>
              <w:t>参加考试</w:t>
            </w:r>
          </w:p>
        </w:tc>
        <w:tc>
          <w:tcPr>
            <w:tcW w:w="1968" w:type="dxa"/>
            <w:vAlign w:val="center"/>
          </w:tcPr>
          <w:p>
            <w:pPr>
              <w:spacing w:line="240" w:lineRule="exact"/>
              <w:jc w:val="left"/>
              <w:rPr>
                <w:rFonts w:ascii="宋体" w:hAnsi="宋体" w:cs="宋体"/>
                <w:color w:val="auto"/>
                <w:kern w:val="0"/>
                <w:szCs w:val="21"/>
              </w:rPr>
            </w:pPr>
            <w:r>
              <w:rPr>
                <w:rFonts w:hint="eastAsia" w:ascii="宋体" w:hAnsi="宋体" w:cs="宋体"/>
                <w:color w:val="auto"/>
                <w:kern w:val="0"/>
                <w:szCs w:val="21"/>
              </w:rPr>
              <w:t>智能</w:t>
            </w:r>
            <w:r>
              <w:rPr>
                <w:rFonts w:ascii="宋体" w:hAnsi="宋体" w:cs="宋体"/>
                <w:color w:val="auto"/>
                <w:kern w:val="0"/>
                <w:szCs w:val="21"/>
              </w:rPr>
              <w:t>财务应用</w:t>
            </w:r>
          </w:p>
        </w:tc>
        <w:tc>
          <w:tcPr>
            <w:tcW w:w="851" w:type="dxa"/>
            <w:vMerge w:val="continue"/>
            <w:vAlign w:val="center"/>
          </w:tcPr>
          <w:p>
            <w:pPr>
              <w:spacing w:line="24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7</w:t>
            </w:r>
          </w:p>
        </w:tc>
        <w:tc>
          <w:tcPr>
            <w:tcW w:w="1995" w:type="dxa"/>
            <w:vAlign w:val="center"/>
          </w:tcPr>
          <w:p>
            <w:pPr>
              <w:tabs>
                <w:tab w:val="left" w:pos="2590"/>
              </w:tabs>
              <w:spacing w:line="240" w:lineRule="atLeast"/>
              <w:rPr>
                <w:rFonts w:ascii="宋体"/>
                <w:color w:val="auto"/>
                <w:szCs w:val="21"/>
              </w:rPr>
            </w:pPr>
            <w:r>
              <w:rPr>
                <w:rFonts w:hint="eastAsia" w:ascii="宋体" w:hAnsi="宋体"/>
                <w:color w:val="auto"/>
                <w:szCs w:val="21"/>
              </w:rPr>
              <w:t>中国管理会计师（初级）</w:t>
            </w:r>
          </w:p>
        </w:tc>
        <w:tc>
          <w:tcPr>
            <w:tcW w:w="2004" w:type="dxa"/>
            <w:vAlign w:val="center"/>
          </w:tcPr>
          <w:p>
            <w:pPr>
              <w:widowControl/>
              <w:spacing w:line="240" w:lineRule="exact"/>
              <w:rPr>
                <w:rFonts w:ascii="宋体" w:hAnsi="宋体" w:cs="宋体"/>
                <w:color w:val="auto"/>
                <w:kern w:val="0"/>
                <w:szCs w:val="21"/>
              </w:rPr>
            </w:pPr>
            <w:r>
              <w:rPr>
                <w:rFonts w:hint="eastAsia" w:ascii="宋体" w:hAnsi="宋体"/>
                <w:color w:val="auto"/>
                <w:szCs w:val="21"/>
              </w:rPr>
              <w:t>中国总会计师</w:t>
            </w:r>
            <w:r>
              <w:rPr>
                <w:rFonts w:ascii="宋体" w:hAnsi="宋体"/>
                <w:color w:val="auto"/>
                <w:szCs w:val="21"/>
              </w:rPr>
              <w:t>协会</w:t>
            </w:r>
          </w:p>
        </w:tc>
        <w:tc>
          <w:tcPr>
            <w:tcW w:w="1308" w:type="dxa"/>
          </w:tcPr>
          <w:p>
            <w:pPr>
              <w:spacing w:line="240" w:lineRule="exact"/>
              <w:jc w:val="left"/>
              <w:rPr>
                <w:rFonts w:ascii="宋体" w:hAnsi="宋体" w:cs="宋体"/>
                <w:color w:val="auto"/>
                <w:kern w:val="0"/>
                <w:szCs w:val="21"/>
              </w:rPr>
            </w:pPr>
            <w:r>
              <w:rPr>
                <w:rFonts w:hint="eastAsia" w:ascii="宋体" w:hAnsi="宋体" w:cs="宋体"/>
                <w:bCs/>
                <w:color w:val="auto"/>
                <w:szCs w:val="21"/>
              </w:rPr>
              <w:t>建议学生在第四、</w:t>
            </w:r>
            <w:r>
              <w:rPr>
                <w:rFonts w:ascii="宋体" w:hAnsi="宋体" w:cs="宋体"/>
                <w:bCs/>
                <w:color w:val="auto"/>
                <w:szCs w:val="21"/>
              </w:rPr>
              <w:t>五</w:t>
            </w:r>
            <w:r>
              <w:rPr>
                <w:rFonts w:hint="eastAsia" w:ascii="宋体" w:hAnsi="宋体" w:cs="宋体"/>
                <w:bCs/>
                <w:color w:val="auto"/>
                <w:szCs w:val="21"/>
              </w:rPr>
              <w:t>、</w:t>
            </w:r>
            <w:r>
              <w:rPr>
                <w:rFonts w:ascii="宋体" w:hAnsi="宋体" w:cs="宋体"/>
                <w:bCs/>
                <w:color w:val="auto"/>
                <w:szCs w:val="21"/>
              </w:rPr>
              <w:t>六</w:t>
            </w:r>
            <w:r>
              <w:rPr>
                <w:rFonts w:hint="eastAsia" w:ascii="宋体" w:hAnsi="宋体" w:cs="宋体"/>
                <w:bCs/>
                <w:color w:val="auto"/>
                <w:szCs w:val="21"/>
              </w:rPr>
              <w:t>学期</w:t>
            </w:r>
            <w:r>
              <w:rPr>
                <w:rFonts w:hint="eastAsia" w:ascii="宋体" w:hAnsi="宋体"/>
                <w:color w:val="auto"/>
                <w:szCs w:val="21"/>
              </w:rPr>
              <w:t>参加考试</w:t>
            </w:r>
          </w:p>
        </w:tc>
        <w:tc>
          <w:tcPr>
            <w:tcW w:w="1968" w:type="dxa"/>
            <w:vAlign w:val="center"/>
          </w:tcPr>
          <w:p>
            <w:pPr>
              <w:spacing w:line="240" w:lineRule="exact"/>
              <w:jc w:val="left"/>
              <w:rPr>
                <w:rFonts w:ascii="宋体" w:hAnsi="宋体" w:cs="宋体"/>
                <w:color w:val="auto"/>
                <w:kern w:val="0"/>
                <w:szCs w:val="21"/>
              </w:rPr>
            </w:pPr>
            <w:r>
              <w:rPr>
                <w:rFonts w:hint="eastAsia" w:ascii="宋体" w:hAnsi="宋体" w:cs="宋体"/>
                <w:color w:val="auto"/>
                <w:kern w:val="0"/>
                <w:szCs w:val="21"/>
              </w:rPr>
              <w:t>管理</w:t>
            </w:r>
            <w:r>
              <w:rPr>
                <w:rFonts w:ascii="宋体" w:hAnsi="宋体" w:cs="宋体"/>
                <w:color w:val="auto"/>
                <w:kern w:val="0"/>
                <w:szCs w:val="21"/>
              </w:rPr>
              <w:t>会计</w:t>
            </w:r>
          </w:p>
        </w:tc>
        <w:tc>
          <w:tcPr>
            <w:tcW w:w="851" w:type="dxa"/>
            <w:vMerge w:val="continue"/>
            <w:vAlign w:val="center"/>
          </w:tcPr>
          <w:p>
            <w:pPr>
              <w:spacing w:line="240" w:lineRule="exact"/>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8</w:t>
            </w:r>
          </w:p>
        </w:tc>
        <w:tc>
          <w:tcPr>
            <w:tcW w:w="1995" w:type="dxa"/>
            <w:vAlign w:val="center"/>
          </w:tcPr>
          <w:p>
            <w:pPr>
              <w:widowControl/>
              <w:spacing w:line="240" w:lineRule="exact"/>
              <w:rPr>
                <w:bCs/>
                <w:color w:val="auto"/>
                <w:szCs w:val="21"/>
              </w:rPr>
            </w:pPr>
            <w:r>
              <w:rPr>
                <w:rFonts w:hint="eastAsia"/>
                <w:bCs/>
                <w:color w:val="auto"/>
                <w:szCs w:val="21"/>
              </w:rPr>
              <w:t>财务管理</w:t>
            </w:r>
            <w:r>
              <w:rPr>
                <w:bCs/>
                <w:color w:val="auto"/>
                <w:szCs w:val="21"/>
              </w:rPr>
              <w:t>师（</w:t>
            </w:r>
            <w:r>
              <w:rPr>
                <w:rFonts w:hint="eastAsia"/>
                <w:bCs/>
                <w:color w:val="auto"/>
                <w:szCs w:val="21"/>
              </w:rPr>
              <w:t>助理级</w:t>
            </w:r>
            <w:r>
              <w:rPr>
                <w:bCs/>
                <w:color w:val="auto"/>
                <w:szCs w:val="21"/>
              </w:rPr>
              <w:t>）</w:t>
            </w:r>
          </w:p>
        </w:tc>
        <w:tc>
          <w:tcPr>
            <w:tcW w:w="2004" w:type="dxa"/>
            <w:vAlign w:val="center"/>
          </w:tcPr>
          <w:p>
            <w:pPr>
              <w:widowControl/>
              <w:spacing w:line="240" w:lineRule="exact"/>
              <w:rPr>
                <w:rFonts w:ascii="宋体" w:hAnsi="宋体" w:cs="宋体"/>
                <w:color w:val="auto"/>
                <w:kern w:val="0"/>
                <w:szCs w:val="21"/>
              </w:rPr>
            </w:pPr>
            <w:r>
              <w:rPr>
                <w:rFonts w:hint="eastAsia" w:ascii="宋体" w:hAnsi="宋体"/>
                <w:color w:val="auto"/>
                <w:szCs w:val="21"/>
              </w:rPr>
              <w:t>中华人民</w:t>
            </w:r>
            <w:r>
              <w:rPr>
                <w:rFonts w:ascii="宋体" w:hAnsi="宋体"/>
                <w:color w:val="auto"/>
                <w:szCs w:val="21"/>
              </w:rPr>
              <w:t>共和国人力资源和社会保障部</w:t>
            </w:r>
          </w:p>
        </w:tc>
        <w:tc>
          <w:tcPr>
            <w:tcW w:w="1308" w:type="dxa"/>
            <w:vAlign w:val="center"/>
          </w:tcPr>
          <w:p>
            <w:pPr>
              <w:spacing w:line="240" w:lineRule="exact"/>
              <w:jc w:val="left"/>
              <w:rPr>
                <w:rFonts w:ascii="宋体" w:hAnsi="宋体" w:cs="宋体"/>
                <w:color w:val="auto"/>
                <w:kern w:val="0"/>
                <w:szCs w:val="21"/>
              </w:rPr>
            </w:pPr>
            <w:r>
              <w:rPr>
                <w:rFonts w:hint="eastAsia" w:ascii="宋体" w:hAnsi="宋体" w:cs="宋体"/>
                <w:bCs/>
                <w:color w:val="auto"/>
                <w:szCs w:val="21"/>
              </w:rPr>
              <w:t>建议学生在第四、</w:t>
            </w:r>
            <w:r>
              <w:rPr>
                <w:rFonts w:ascii="宋体" w:hAnsi="宋体" w:cs="宋体"/>
                <w:bCs/>
                <w:color w:val="auto"/>
                <w:szCs w:val="21"/>
              </w:rPr>
              <w:t>五</w:t>
            </w:r>
            <w:r>
              <w:rPr>
                <w:rFonts w:hint="eastAsia" w:ascii="宋体" w:hAnsi="宋体" w:cs="宋体"/>
                <w:bCs/>
                <w:color w:val="auto"/>
                <w:szCs w:val="21"/>
              </w:rPr>
              <w:t>、</w:t>
            </w:r>
            <w:r>
              <w:rPr>
                <w:rFonts w:ascii="宋体" w:hAnsi="宋体" w:cs="宋体"/>
                <w:bCs/>
                <w:color w:val="auto"/>
                <w:szCs w:val="21"/>
              </w:rPr>
              <w:t>六</w:t>
            </w:r>
            <w:r>
              <w:rPr>
                <w:rFonts w:hint="eastAsia" w:ascii="宋体" w:hAnsi="宋体" w:cs="宋体"/>
                <w:bCs/>
                <w:color w:val="auto"/>
                <w:szCs w:val="21"/>
              </w:rPr>
              <w:t>学期</w:t>
            </w:r>
            <w:r>
              <w:rPr>
                <w:rFonts w:hint="eastAsia" w:ascii="宋体" w:hAnsi="宋体"/>
                <w:color w:val="auto"/>
                <w:szCs w:val="21"/>
              </w:rPr>
              <w:t>参加考试</w:t>
            </w:r>
          </w:p>
        </w:tc>
        <w:tc>
          <w:tcPr>
            <w:tcW w:w="1968" w:type="dxa"/>
          </w:tcPr>
          <w:p>
            <w:pPr>
              <w:spacing w:line="240" w:lineRule="exact"/>
              <w:jc w:val="left"/>
              <w:rPr>
                <w:rFonts w:ascii="宋体" w:hAnsi="宋体" w:cs="宋体"/>
                <w:color w:val="auto"/>
                <w:kern w:val="0"/>
                <w:szCs w:val="21"/>
              </w:rPr>
            </w:pPr>
            <w:r>
              <w:rPr>
                <w:rFonts w:hint="eastAsia" w:ascii="宋体" w:hAnsi="宋体" w:cs="宋体"/>
                <w:color w:val="auto"/>
                <w:kern w:val="0"/>
                <w:szCs w:val="21"/>
              </w:rPr>
              <w:t>工程</w:t>
            </w:r>
            <w:r>
              <w:rPr>
                <w:rFonts w:ascii="宋体" w:hAnsi="宋体" w:cs="宋体"/>
                <w:color w:val="auto"/>
                <w:kern w:val="0"/>
                <w:szCs w:val="21"/>
              </w:rPr>
              <w:t>财务管理、</w:t>
            </w:r>
            <w:r>
              <w:rPr>
                <w:rFonts w:hint="eastAsia" w:ascii="宋体" w:hAnsi="宋体" w:cs="宋体"/>
                <w:color w:val="auto"/>
                <w:kern w:val="0"/>
                <w:szCs w:val="21"/>
              </w:rPr>
              <w:t>大数据</w:t>
            </w:r>
            <w:r>
              <w:rPr>
                <w:rFonts w:ascii="宋体" w:hAnsi="宋体" w:cs="宋体"/>
                <w:color w:val="auto"/>
                <w:kern w:val="0"/>
                <w:szCs w:val="21"/>
              </w:rPr>
              <w:t>财务分析、企业战略管理</w:t>
            </w:r>
          </w:p>
        </w:tc>
        <w:tc>
          <w:tcPr>
            <w:tcW w:w="851" w:type="dxa"/>
            <w:vMerge w:val="continue"/>
            <w:vAlign w:val="center"/>
          </w:tcPr>
          <w:p>
            <w:pPr>
              <w:spacing w:line="240" w:lineRule="exact"/>
              <w:jc w:val="left"/>
              <w:rPr>
                <w:rFonts w:ascii="宋体" w:hAnsi="宋体" w:cs="宋体"/>
                <w:color w:val="auto"/>
                <w:kern w:val="0"/>
                <w:szCs w:val="21"/>
              </w:rPr>
            </w:pPr>
          </w:p>
        </w:tc>
      </w:tr>
    </w:tbl>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（四）外语和计算机等级证书</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w:t>
      </w:r>
      <w:r>
        <w:rPr>
          <w:color w:val="auto"/>
          <w:kern w:val="2"/>
        </w:rPr>
        <w:t>.</w:t>
      </w:r>
      <w:r>
        <w:rPr>
          <w:rFonts w:hint="eastAsia"/>
          <w:color w:val="auto"/>
          <w:kern w:val="2"/>
        </w:rPr>
        <w:t>应取得高等学校英语应用能力B级证书，鼓励取得浙江省大学英语三级、高等学校英语应用能力A级或全国大学英语四级证书。</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w:t>
      </w:r>
      <w:r>
        <w:rPr>
          <w:color w:val="auto"/>
          <w:kern w:val="2"/>
        </w:rPr>
        <w:t>.</w:t>
      </w:r>
      <w:r>
        <w:rPr>
          <w:rFonts w:hint="eastAsia"/>
          <w:color w:val="auto"/>
          <w:kern w:val="2"/>
        </w:rPr>
        <w:t>应取得浙江省高校计算机等级一级证书，鼓励取得浙江省高校计算机等级二级证书。</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（五）毕业</w:t>
      </w:r>
      <w:r>
        <w:rPr>
          <w:color w:val="auto"/>
          <w:kern w:val="2"/>
        </w:rPr>
        <w:t>要求</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在</w:t>
      </w:r>
      <w:r>
        <w:rPr>
          <w:color w:val="auto"/>
          <w:kern w:val="2"/>
        </w:rPr>
        <w:t>修业年限内，修完人才培养方案规定的课程及完成各个教学环节，成绩合格并获得相应学分，方准予毕业。</w:t>
      </w: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五、工作任务与职业能力分解表</w:t>
      </w:r>
    </w:p>
    <w:p>
      <w:pPr>
        <w:rPr>
          <w:color w:val="auto"/>
        </w:rPr>
      </w:pPr>
      <w:r>
        <w:rPr>
          <w:rFonts w:hint="eastAsia"/>
          <w:color w:val="auto"/>
        </w:rPr>
        <w:br w:type="page"/>
      </w:r>
    </w:p>
    <w:p>
      <w:pPr>
        <w:pStyle w:val="7"/>
        <w:adjustRightInd w:val="0"/>
        <w:snapToGrid w:val="0"/>
        <w:spacing w:before="0" w:beforeAutospacing="0" w:after="0" w:afterAutospacing="0" w:line="360" w:lineRule="auto"/>
        <w:ind w:firstLine="482"/>
        <w:jc w:val="center"/>
        <w:rPr>
          <w:color w:val="auto"/>
        </w:rPr>
      </w:pPr>
      <w:r>
        <w:rPr>
          <w:rFonts w:hint="eastAsia"/>
          <w:color w:val="auto"/>
          <w:kern w:val="2"/>
        </w:rPr>
        <w:t>表3 大数据与财务管理专业工作任务与职业能力分解表</w:t>
      </w:r>
    </w:p>
    <w:tbl>
      <w:tblPr>
        <w:tblStyle w:val="8"/>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62"/>
        <w:gridCol w:w="1452"/>
        <w:gridCol w:w="2040"/>
        <w:gridCol w:w="157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470" w:type="dxa"/>
            <w:vMerge w:val="restart"/>
            <w:tcBorders>
              <w:top w:val="single" w:color="auto" w:sz="4" w:space="0"/>
              <w:left w:val="single" w:color="auto" w:sz="4" w:space="0"/>
              <w:right w:val="single" w:color="auto" w:sz="4" w:space="0"/>
            </w:tcBorders>
            <w:vAlign w:val="center"/>
          </w:tcPr>
          <w:p>
            <w:pPr>
              <w:spacing w:line="240" w:lineRule="atLeast"/>
              <w:jc w:val="center"/>
              <w:rPr>
                <w:color w:val="auto"/>
                <w:sz w:val="24"/>
              </w:rPr>
            </w:pPr>
            <w:r>
              <w:rPr>
                <w:rFonts w:hint="eastAsia"/>
                <w:color w:val="auto"/>
                <w:sz w:val="24"/>
              </w:rPr>
              <w:t>岗位名称及性质</w:t>
            </w:r>
          </w:p>
        </w:tc>
        <w:tc>
          <w:tcPr>
            <w:tcW w:w="862" w:type="dxa"/>
            <w:vMerge w:val="restart"/>
            <w:tcBorders>
              <w:top w:val="single" w:color="auto" w:sz="4" w:space="0"/>
              <w:left w:val="single" w:color="auto" w:sz="4" w:space="0"/>
              <w:right w:val="single" w:color="auto" w:sz="4" w:space="0"/>
            </w:tcBorders>
            <w:vAlign w:val="center"/>
          </w:tcPr>
          <w:p>
            <w:pPr>
              <w:spacing w:line="240" w:lineRule="atLeast"/>
              <w:jc w:val="center"/>
              <w:rPr>
                <w:color w:val="auto"/>
                <w:sz w:val="24"/>
              </w:rPr>
            </w:pPr>
            <w:r>
              <w:rPr>
                <w:rFonts w:hint="eastAsia"/>
                <w:color w:val="auto"/>
                <w:sz w:val="24"/>
              </w:rPr>
              <w:t>典型工作任务</w:t>
            </w:r>
          </w:p>
        </w:tc>
        <w:tc>
          <w:tcPr>
            <w:tcW w:w="506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480" w:firstLineChars="200"/>
              <w:jc w:val="center"/>
              <w:rPr>
                <w:color w:val="auto"/>
                <w:sz w:val="24"/>
              </w:rPr>
            </w:pPr>
            <w:r>
              <w:rPr>
                <w:rFonts w:hint="eastAsia"/>
                <w:color w:val="auto"/>
                <w:sz w:val="24"/>
              </w:rPr>
              <w:t>要求</w:t>
            </w:r>
          </w:p>
        </w:tc>
        <w:tc>
          <w:tcPr>
            <w:tcW w:w="2534" w:type="dxa"/>
            <w:vMerge w:val="restart"/>
            <w:tcBorders>
              <w:top w:val="single" w:color="auto" w:sz="4" w:space="0"/>
              <w:left w:val="single" w:color="auto" w:sz="4" w:space="0"/>
              <w:right w:val="single" w:color="auto" w:sz="4" w:space="0"/>
            </w:tcBorders>
            <w:vAlign w:val="center"/>
          </w:tcPr>
          <w:p>
            <w:pPr>
              <w:jc w:val="center"/>
              <w:rPr>
                <w:color w:val="auto"/>
                <w:sz w:val="24"/>
              </w:rPr>
            </w:pPr>
            <w:r>
              <w:rPr>
                <w:rFonts w:hint="eastAsia"/>
                <w:color w:val="auto"/>
                <w:sz w:val="24"/>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470" w:type="dxa"/>
            <w:vMerge w:val="continue"/>
            <w:tcBorders>
              <w:left w:val="single" w:color="auto" w:sz="4" w:space="0"/>
              <w:bottom w:val="single" w:color="000000" w:sz="4" w:space="0"/>
              <w:right w:val="single" w:color="auto" w:sz="4" w:space="0"/>
            </w:tcBorders>
            <w:vAlign w:val="center"/>
          </w:tcPr>
          <w:p>
            <w:pPr>
              <w:tabs>
                <w:tab w:val="left" w:pos="2590"/>
              </w:tabs>
              <w:spacing w:line="240" w:lineRule="atLeast"/>
              <w:jc w:val="center"/>
              <w:rPr>
                <w:color w:val="auto"/>
                <w:sz w:val="24"/>
              </w:rPr>
            </w:pPr>
          </w:p>
        </w:tc>
        <w:tc>
          <w:tcPr>
            <w:tcW w:w="862" w:type="dxa"/>
            <w:vMerge w:val="continue"/>
            <w:tcBorders>
              <w:left w:val="single" w:color="auto" w:sz="4" w:space="0"/>
              <w:bottom w:val="single" w:color="000000" w:sz="4" w:space="0"/>
              <w:right w:val="single" w:color="auto" w:sz="4" w:space="0"/>
            </w:tcBorders>
            <w:vAlign w:val="center"/>
          </w:tcPr>
          <w:p>
            <w:pPr>
              <w:tabs>
                <w:tab w:val="left" w:pos="2590"/>
              </w:tabs>
              <w:spacing w:line="240" w:lineRule="atLeast"/>
              <w:jc w:val="center"/>
              <w:rPr>
                <w:color w:val="auto"/>
                <w:sz w:val="24"/>
              </w:rPr>
            </w:pPr>
          </w:p>
        </w:tc>
        <w:tc>
          <w:tcPr>
            <w:tcW w:w="1452" w:type="dxa"/>
            <w:tcBorders>
              <w:left w:val="single" w:color="auto" w:sz="4" w:space="0"/>
              <w:bottom w:val="single" w:color="000000" w:sz="4" w:space="0"/>
            </w:tcBorders>
            <w:vAlign w:val="center"/>
          </w:tcPr>
          <w:p>
            <w:pPr>
              <w:tabs>
                <w:tab w:val="left" w:pos="2590"/>
              </w:tabs>
              <w:spacing w:line="240" w:lineRule="atLeast"/>
              <w:jc w:val="center"/>
              <w:rPr>
                <w:color w:val="auto"/>
                <w:sz w:val="24"/>
              </w:rPr>
            </w:pPr>
            <w:r>
              <w:rPr>
                <w:rFonts w:hint="eastAsia"/>
                <w:color w:val="auto"/>
                <w:sz w:val="24"/>
              </w:rPr>
              <w:t>知识要求</w:t>
            </w:r>
          </w:p>
        </w:tc>
        <w:tc>
          <w:tcPr>
            <w:tcW w:w="2040" w:type="dxa"/>
            <w:tcBorders>
              <w:bottom w:val="single" w:color="000000" w:sz="4" w:space="0"/>
            </w:tcBorders>
            <w:vAlign w:val="center"/>
          </w:tcPr>
          <w:p>
            <w:pPr>
              <w:tabs>
                <w:tab w:val="left" w:pos="2590"/>
              </w:tabs>
              <w:spacing w:line="240" w:lineRule="atLeast"/>
              <w:jc w:val="center"/>
              <w:rPr>
                <w:color w:val="auto"/>
                <w:sz w:val="24"/>
              </w:rPr>
            </w:pPr>
            <w:r>
              <w:rPr>
                <w:rFonts w:hint="eastAsia"/>
                <w:color w:val="auto"/>
                <w:sz w:val="24"/>
              </w:rPr>
              <w:t>能力要求</w:t>
            </w:r>
          </w:p>
        </w:tc>
        <w:tc>
          <w:tcPr>
            <w:tcW w:w="1576" w:type="dxa"/>
            <w:tcBorders>
              <w:bottom w:val="single" w:color="000000" w:sz="4" w:space="0"/>
            </w:tcBorders>
            <w:vAlign w:val="center"/>
          </w:tcPr>
          <w:p>
            <w:pPr>
              <w:tabs>
                <w:tab w:val="left" w:pos="2590"/>
              </w:tabs>
              <w:spacing w:line="240" w:lineRule="atLeast"/>
              <w:jc w:val="center"/>
              <w:rPr>
                <w:color w:val="auto"/>
                <w:sz w:val="24"/>
              </w:rPr>
            </w:pPr>
            <w:r>
              <w:rPr>
                <w:rFonts w:hint="eastAsia"/>
                <w:color w:val="auto"/>
                <w:sz w:val="24"/>
              </w:rPr>
              <w:t>素养要求</w:t>
            </w:r>
          </w:p>
        </w:tc>
        <w:tc>
          <w:tcPr>
            <w:tcW w:w="2534" w:type="dxa"/>
            <w:vMerge w:val="continue"/>
            <w:tcBorders>
              <w:left w:val="single" w:color="auto" w:sz="4" w:space="0"/>
              <w:bottom w:val="single" w:color="000000" w:sz="4" w:space="0"/>
              <w:right w:val="single" w:color="auto" w:sz="4" w:space="0"/>
            </w:tcBorders>
            <w:vAlign w:val="center"/>
          </w:tcPr>
          <w:p>
            <w:pPr>
              <w:tabs>
                <w:tab w:val="left" w:pos="2590"/>
              </w:tabs>
              <w:spacing w:line="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共享财务</w:t>
            </w:r>
          </w:p>
          <w:p>
            <w:pPr>
              <w:tabs>
                <w:tab w:val="left" w:pos="2590"/>
              </w:tabs>
              <w:spacing w:line="240" w:lineRule="atLeast"/>
              <w:jc w:val="center"/>
              <w:rPr>
                <w:rFonts w:ascii="宋体" w:hAnsi="宋体"/>
                <w:color w:val="auto"/>
                <w:szCs w:val="21"/>
              </w:rPr>
            </w:pPr>
            <w:r>
              <w:rPr>
                <w:rFonts w:hint="eastAsia" w:ascii="宋体" w:hAnsi="宋体"/>
                <w:color w:val="auto"/>
                <w:szCs w:val="21"/>
              </w:rPr>
              <w:t>岗位</w:t>
            </w:r>
          </w:p>
          <w:p>
            <w:pPr>
              <w:tabs>
                <w:tab w:val="left" w:pos="2590"/>
              </w:tabs>
              <w:spacing w:line="240" w:lineRule="atLeast"/>
              <w:jc w:val="center"/>
              <w:rPr>
                <w:rFonts w:ascii="宋体" w:hAnsi="宋体"/>
                <w:color w:val="auto"/>
                <w:szCs w:val="21"/>
              </w:rPr>
            </w:pPr>
            <w:r>
              <w:rPr>
                <w:rFonts w:hint="eastAsia" w:ascii="宋体" w:hAnsi="宋体"/>
                <w:color w:val="auto"/>
                <w:szCs w:val="21"/>
              </w:rPr>
              <w:t>(基础岗位）</w:t>
            </w:r>
          </w:p>
          <w:p>
            <w:pPr>
              <w:tabs>
                <w:tab w:val="left" w:pos="2590"/>
              </w:tabs>
              <w:spacing w:line="240" w:lineRule="atLeast"/>
              <w:jc w:val="center"/>
              <w:rPr>
                <w:rFonts w:ascii="宋体" w:hAnsi="宋体"/>
                <w:color w:val="auto"/>
                <w:szCs w:val="21"/>
              </w:rPr>
            </w:pPr>
          </w:p>
        </w:tc>
        <w:tc>
          <w:tcPr>
            <w:tcW w:w="862"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出纳业务处理</w:t>
            </w:r>
          </w:p>
        </w:tc>
        <w:tc>
          <w:tcPr>
            <w:tcW w:w="1452"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掌握现金</w:t>
            </w:r>
            <w:r>
              <w:rPr>
                <w:rFonts w:ascii="宋体" w:hAnsi="宋体"/>
                <w:color w:val="auto"/>
                <w:szCs w:val="21"/>
              </w:rPr>
              <w:t>、</w:t>
            </w:r>
            <w:r>
              <w:rPr>
                <w:rFonts w:hint="eastAsia" w:ascii="宋体" w:hAnsi="宋体"/>
                <w:color w:val="auto"/>
                <w:szCs w:val="21"/>
              </w:rPr>
              <w:t>支付结算、票据、账户管理、</w:t>
            </w:r>
            <w:r>
              <w:rPr>
                <w:rFonts w:ascii="宋体" w:hAnsi="宋体"/>
                <w:color w:val="auto"/>
                <w:szCs w:val="21"/>
              </w:rPr>
              <w:t>互联网金融收付</w:t>
            </w:r>
            <w:r>
              <w:rPr>
                <w:rFonts w:hint="eastAsia" w:ascii="宋体" w:hAnsi="宋体"/>
                <w:color w:val="auto"/>
                <w:szCs w:val="21"/>
              </w:rPr>
              <w:t>等知识，掌握财务共享岗位相关操作流程。</w:t>
            </w:r>
          </w:p>
        </w:tc>
        <w:tc>
          <w:tcPr>
            <w:tcW w:w="2040"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会办理现金、银行存款、内部往来和外部结算等业务能力。</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诚信</w:t>
            </w:r>
            <w:r>
              <w:rPr>
                <w:rFonts w:ascii="宋体" w:hAnsi="宋体"/>
                <w:color w:val="auto"/>
                <w:szCs w:val="21"/>
              </w:rPr>
              <w:t>、守法，</w:t>
            </w:r>
            <w:r>
              <w:rPr>
                <w:rFonts w:hint="eastAsia" w:ascii="宋体" w:hAnsi="宋体"/>
                <w:color w:val="auto"/>
                <w:szCs w:val="21"/>
              </w:rPr>
              <w:t>做事认真细心，有条理，较强的沟通协调、团队合作能力。</w:t>
            </w:r>
          </w:p>
        </w:tc>
        <w:tc>
          <w:tcPr>
            <w:tcW w:w="2534"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590"/>
              </w:tabs>
              <w:spacing w:line="0" w:lineRule="atLeast"/>
              <w:jc w:val="left"/>
              <w:rPr>
                <w:color w:val="auto"/>
                <w:szCs w:val="21"/>
              </w:rPr>
            </w:pPr>
            <w:r>
              <w:rPr>
                <w:rFonts w:hint="eastAsia"/>
                <w:color w:val="auto"/>
                <w:szCs w:val="21"/>
              </w:rPr>
              <w:t>智能财务基础</w:t>
            </w:r>
          </w:p>
          <w:p>
            <w:pPr>
              <w:tabs>
                <w:tab w:val="left" w:pos="2590"/>
              </w:tabs>
              <w:spacing w:line="0" w:lineRule="atLeast"/>
              <w:jc w:val="left"/>
              <w:rPr>
                <w:rFonts w:ascii="宋体" w:hAnsi="宋体"/>
                <w:bCs/>
                <w:color w:val="auto"/>
                <w:szCs w:val="21"/>
              </w:rPr>
            </w:pPr>
            <w:r>
              <w:rPr>
                <w:rFonts w:hint="eastAsia" w:ascii="宋体" w:hAnsi="宋体"/>
                <w:color w:val="auto"/>
                <w:szCs w:val="21"/>
              </w:rPr>
              <w:t>经济法基础</w:t>
            </w:r>
          </w:p>
          <w:p>
            <w:pPr>
              <w:tabs>
                <w:tab w:val="left" w:pos="2590"/>
              </w:tabs>
              <w:spacing w:line="0" w:lineRule="atLeast"/>
              <w:jc w:val="left"/>
              <w:rPr>
                <w:rFonts w:ascii="宋体" w:hAnsi="宋体"/>
                <w:bCs/>
                <w:color w:val="auto"/>
                <w:szCs w:val="21"/>
              </w:rPr>
            </w:pPr>
            <w:r>
              <w:rPr>
                <w:rFonts w:hint="eastAsia" w:ascii="宋体" w:hAnsi="宋体"/>
                <w:bCs/>
                <w:color w:val="auto"/>
                <w:szCs w:val="21"/>
              </w:rPr>
              <w:t>财务会计</w:t>
            </w:r>
          </w:p>
          <w:p>
            <w:pPr>
              <w:tabs>
                <w:tab w:val="left" w:pos="2590"/>
              </w:tabs>
              <w:spacing w:line="0" w:lineRule="atLeast"/>
              <w:jc w:val="left"/>
              <w:rPr>
                <w:color w:val="auto"/>
                <w:szCs w:val="21"/>
              </w:rPr>
            </w:pPr>
            <w:r>
              <w:rPr>
                <w:rFonts w:hint="eastAsia"/>
                <w:color w:val="auto"/>
                <w:szCs w:val="21"/>
              </w:rPr>
              <w:t>数据库技术财务应用</w:t>
            </w:r>
          </w:p>
          <w:p>
            <w:pPr>
              <w:tabs>
                <w:tab w:val="left" w:pos="2590"/>
              </w:tabs>
              <w:spacing w:line="0" w:lineRule="atLeast"/>
              <w:jc w:val="left"/>
              <w:rPr>
                <w:color w:val="auto"/>
                <w:szCs w:val="21"/>
              </w:rPr>
            </w:pPr>
            <w:r>
              <w:rPr>
                <w:rFonts w:hint="eastAsia"/>
                <w:color w:val="auto"/>
                <w:szCs w:val="21"/>
              </w:rPr>
              <w:t>智能</w:t>
            </w:r>
            <w:r>
              <w:rPr>
                <w:color w:val="auto"/>
                <w:szCs w:val="21"/>
              </w:rPr>
              <w:t>财务应用</w:t>
            </w:r>
          </w:p>
          <w:p>
            <w:pPr>
              <w:pStyle w:val="2"/>
              <w:ind w:firstLine="0" w:firstLineChars="0"/>
              <w:rPr>
                <w:color w:val="auto"/>
              </w:rPr>
            </w:pPr>
            <w:r>
              <w:rPr>
                <w:rFonts w:hint="eastAsia" w:ascii="宋体" w:hAnsi="宋体" w:cs="宋体"/>
                <w:color w:val="auto"/>
              </w:rPr>
              <w:t>Python技术财务应用</w:t>
            </w:r>
          </w:p>
          <w:p>
            <w:pPr>
              <w:pStyle w:val="2"/>
              <w:ind w:firstLine="0" w:firstLineChars="0"/>
              <w:jc w:val="left"/>
              <w:rPr>
                <w:color w:val="auto"/>
                <w:szCs w:val="21"/>
              </w:rPr>
            </w:pPr>
            <w:r>
              <w:rPr>
                <w:rFonts w:hint="eastAsia"/>
                <w:color w:val="auto"/>
                <w:szCs w:val="21"/>
              </w:rPr>
              <w:t>财务共享应用</w:t>
            </w:r>
          </w:p>
          <w:p>
            <w:pPr>
              <w:pStyle w:val="2"/>
              <w:ind w:firstLine="0" w:firstLineChars="0"/>
              <w:jc w:val="left"/>
              <w:rPr>
                <w:color w:val="auto"/>
                <w:szCs w:val="21"/>
              </w:rPr>
            </w:pPr>
            <w:r>
              <w:rPr>
                <w:rFonts w:hint="eastAsia"/>
                <w:color w:val="auto"/>
                <w:szCs w:val="21"/>
              </w:rPr>
              <w:t>智能财务机器人应用</w:t>
            </w:r>
          </w:p>
          <w:p>
            <w:pPr>
              <w:tabs>
                <w:tab w:val="left" w:pos="2590"/>
              </w:tabs>
              <w:spacing w:line="0" w:lineRule="atLeast"/>
              <w:jc w:val="left"/>
              <w:rPr>
                <w:rFonts w:ascii="Arial" w:hAnsi="Arial" w:cs="Arial"/>
                <w:color w:val="auto"/>
                <w:szCs w:val="21"/>
              </w:rPr>
            </w:pPr>
            <w:r>
              <w:rPr>
                <w:rFonts w:hint="eastAsia" w:ascii="宋体" w:hAnsi="宋体" w:cs="Arial"/>
                <w:color w:val="auto"/>
                <w:szCs w:val="21"/>
              </w:rPr>
              <w:t>Excel</w:t>
            </w:r>
            <w:r>
              <w:rPr>
                <w:rFonts w:hint="eastAsia" w:ascii="Arial" w:hAnsi="Arial" w:cs="Arial"/>
                <w:color w:val="auto"/>
                <w:szCs w:val="21"/>
              </w:rPr>
              <w:t>在财会中的应用</w:t>
            </w:r>
          </w:p>
          <w:p>
            <w:pPr>
              <w:tabs>
                <w:tab w:val="left" w:pos="2590"/>
              </w:tabs>
              <w:spacing w:line="0" w:lineRule="atLeast"/>
              <w:jc w:val="left"/>
              <w:rPr>
                <w:rFonts w:ascii="Arial" w:hAnsi="Arial" w:cs="Arial"/>
                <w:color w:val="auto"/>
                <w:szCs w:val="21"/>
              </w:rPr>
            </w:pPr>
            <w:r>
              <w:rPr>
                <w:rFonts w:hint="eastAsia" w:ascii="Arial" w:hAnsi="Arial" w:cs="Arial"/>
                <w:color w:val="auto"/>
                <w:szCs w:val="21"/>
              </w:rPr>
              <w:t>工程项目数字化管理</w:t>
            </w:r>
          </w:p>
          <w:p>
            <w:pPr>
              <w:tabs>
                <w:tab w:val="left" w:pos="2590"/>
              </w:tabs>
              <w:spacing w:line="0" w:lineRule="atLeast"/>
              <w:jc w:val="left"/>
              <w:rPr>
                <w:rFonts w:hint="eastAsia" w:ascii="Arial" w:hAnsi="Arial" w:eastAsia="宋体" w:cs="Arial"/>
                <w:color w:val="auto"/>
                <w:szCs w:val="21"/>
                <w:lang w:eastAsia="zh-CN"/>
              </w:rPr>
            </w:pPr>
            <w:r>
              <w:rPr>
                <w:rFonts w:hint="eastAsia" w:ascii="Arial" w:hAnsi="Arial" w:cs="Arial"/>
                <w:color w:val="auto"/>
                <w:szCs w:val="21"/>
                <w:lang w:eastAsia="zh-CN"/>
              </w:rPr>
              <w:t>建筑财务数智化应用</w:t>
            </w:r>
          </w:p>
          <w:p>
            <w:pPr>
              <w:tabs>
                <w:tab w:val="left" w:pos="2590"/>
              </w:tabs>
              <w:spacing w:line="0" w:lineRule="atLeast"/>
              <w:jc w:val="left"/>
              <w:rPr>
                <w:rFonts w:ascii="宋体" w:hAnsi="宋体"/>
                <w:color w:val="auto"/>
                <w:szCs w:val="21"/>
              </w:rPr>
            </w:pPr>
            <w:r>
              <w:rPr>
                <w:rFonts w:ascii="宋体" w:hAnsi="宋体"/>
                <w:color w:val="auto"/>
                <w:szCs w:val="21"/>
              </w:rPr>
              <w:t>税</w:t>
            </w:r>
            <w:r>
              <w:rPr>
                <w:rFonts w:hint="eastAsia" w:ascii="宋体" w:hAnsi="宋体"/>
                <w:color w:val="auto"/>
                <w:szCs w:val="21"/>
              </w:rPr>
              <w:t>务实务</w:t>
            </w:r>
            <w:r>
              <w:rPr>
                <w:rFonts w:ascii="宋体" w:hAnsi="宋体"/>
                <w:color w:val="auto"/>
                <w:szCs w:val="21"/>
              </w:rPr>
              <w:t>与筹划</w:t>
            </w:r>
          </w:p>
          <w:p>
            <w:pPr>
              <w:tabs>
                <w:tab w:val="left" w:pos="2590"/>
              </w:tabs>
              <w:spacing w:line="0" w:lineRule="atLeast"/>
              <w:jc w:val="left"/>
              <w:rPr>
                <w:rFonts w:ascii="宋体" w:hAnsi="宋体" w:cs="宋体"/>
                <w:color w:val="auto"/>
                <w:szCs w:val="21"/>
              </w:rPr>
            </w:pPr>
            <w:r>
              <w:rPr>
                <w:rFonts w:hint="eastAsia" w:ascii="宋体" w:hAnsi="宋体" w:cs="宋体"/>
                <w:color w:val="auto"/>
                <w:szCs w:val="21"/>
              </w:rPr>
              <w:t>成本会计</w:t>
            </w:r>
          </w:p>
          <w:p>
            <w:pPr>
              <w:tabs>
                <w:tab w:val="left" w:pos="2590"/>
              </w:tabs>
              <w:spacing w:line="0" w:lineRule="atLeast"/>
              <w:jc w:val="left"/>
              <w:rPr>
                <w:rFonts w:ascii="宋体" w:hAnsi="宋体"/>
                <w:color w:val="auto"/>
                <w:szCs w:val="21"/>
              </w:rPr>
            </w:pPr>
            <w:r>
              <w:rPr>
                <w:rFonts w:hint="eastAsia" w:ascii="宋体" w:hAnsi="宋体"/>
                <w:color w:val="auto"/>
                <w:szCs w:val="21"/>
              </w:rPr>
              <w:t>财务共享应用</w:t>
            </w:r>
          </w:p>
          <w:p>
            <w:pPr>
              <w:tabs>
                <w:tab w:val="left" w:pos="2590"/>
              </w:tabs>
              <w:spacing w:line="0" w:lineRule="atLeast"/>
              <w:jc w:val="left"/>
              <w:rPr>
                <w:rFonts w:ascii="宋体" w:hAnsi="宋体"/>
                <w:color w:val="auto"/>
                <w:szCs w:val="21"/>
              </w:rPr>
            </w:pPr>
            <w:r>
              <w:rPr>
                <w:rFonts w:hint="eastAsia" w:ascii="宋体" w:hAnsi="宋体"/>
                <w:color w:val="auto"/>
                <w:szCs w:val="21"/>
              </w:rPr>
              <w:t>手工会计基础实训</w:t>
            </w:r>
          </w:p>
          <w:p>
            <w:pPr>
              <w:tabs>
                <w:tab w:val="left" w:pos="2590"/>
              </w:tabs>
              <w:spacing w:line="0" w:lineRule="atLeast"/>
              <w:jc w:val="left"/>
              <w:rPr>
                <w:rFonts w:ascii="宋体" w:hAnsi="宋体"/>
                <w:color w:val="auto"/>
                <w:szCs w:val="21"/>
              </w:rPr>
            </w:pPr>
            <w:r>
              <w:rPr>
                <w:rFonts w:hint="eastAsia" w:ascii="宋体" w:hAnsi="宋体"/>
                <w:color w:val="auto"/>
                <w:szCs w:val="21"/>
              </w:rPr>
              <w:t>手工会计分岗实训</w:t>
            </w:r>
          </w:p>
          <w:p>
            <w:pPr>
              <w:spacing w:line="0" w:lineRule="atLeast"/>
              <w:jc w:val="left"/>
              <w:rPr>
                <w:rFonts w:ascii="宋体" w:hAnsi="宋体"/>
                <w:color w:val="auto"/>
                <w:szCs w:val="21"/>
              </w:rPr>
            </w:pPr>
            <w:r>
              <w:rPr>
                <w:rFonts w:hint="eastAsia" w:ascii="MS Mincho" w:hAnsi="MS Mincho" w:cs="MS Mincho"/>
                <w:color w:val="auto"/>
                <w:szCs w:val="21"/>
              </w:rPr>
              <w:t>建筑企业</w:t>
            </w:r>
            <w:r>
              <w:rPr>
                <w:rFonts w:ascii="MS Mincho" w:hAnsi="MS Mincho" w:cs="MS Mincho"/>
                <w:color w:val="auto"/>
                <w:szCs w:val="21"/>
              </w:rPr>
              <w:t>财务信息化</w:t>
            </w:r>
            <w:r>
              <w:rPr>
                <w:rFonts w:hint="eastAsia" w:ascii="宋体" w:hAnsi="宋体"/>
                <w:color w:val="auto"/>
                <w:szCs w:val="21"/>
              </w:rPr>
              <w:t xml:space="preserve">实训 </w:t>
            </w:r>
          </w:p>
          <w:p>
            <w:pPr>
              <w:spacing w:line="0" w:lineRule="atLeast"/>
              <w:jc w:val="left"/>
              <w:rPr>
                <w:rFonts w:ascii="MS Mincho" w:hAnsi="MS Mincho" w:cs="MS Mincho"/>
                <w:color w:val="auto"/>
                <w:szCs w:val="21"/>
              </w:rPr>
            </w:pPr>
            <w:r>
              <w:rPr>
                <w:rFonts w:hint="eastAsia" w:ascii="MS Mincho" w:hAnsi="MS Mincho" w:cs="MS Mincho"/>
                <w:color w:val="auto"/>
                <w:szCs w:val="21"/>
              </w:rPr>
              <w:t>制造企业财务信息化实训</w:t>
            </w:r>
          </w:p>
          <w:p>
            <w:pPr>
              <w:tabs>
                <w:tab w:val="left" w:pos="2590"/>
              </w:tabs>
              <w:spacing w:line="0" w:lineRule="atLeast"/>
              <w:jc w:val="left"/>
              <w:rPr>
                <w:rFonts w:ascii="宋体" w:hAnsi="宋体"/>
                <w:color w:val="auto"/>
                <w:szCs w:val="21"/>
              </w:rPr>
            </w:pPr>
            <w:r>
              <w:rPr>
                <w:rFonts w:hint="eastAsia" w:ascii="宋体" w:hAnsi="宋体"/>
                <w:color w:val="auto"/>
                <w:szCs w:val="21"/>
              </w:rPr>
              <w:t>职业基本素养</w:t>
            </w:r>
          </w:p>
          <w:p>
            <w:pPr>
              <w:tabs>
                <w:tab w:val="left" w:pos="2590"/>
              </w:tabs>
              <w:spacing w:line="0" w:lineRule="atLeast"/>
              <w:jc w:val="left"/>
              <w:rPr>
                <w:rFonts w:ascii="宋体" w:hAnsi="宋体"/>
                <w:color w:val="auto"/>
                <w:szCs w:val="21"/>
              </w:rPr>
            </w:pPr>
            <w:r>
              <w:rPr>
                <w:rFonts w:hint="eastAsia" w:ascii="宋体" w:hAnsi="宋体"/>
                <w:color w:val="auto"/>
                <w:szCs w:val="21"/>
              </w:rPr>
              <w:t>最新财税政策解读</w:t>
            </w:r>
          </w:p>
          <w:p>
            <w:pPr>
              <w:tabs>
                <w:tab w:val="left" w:pos="2590"/>
              </w:tabs>
              <w:spacing w:line="0" w:lineRule="atLeast"/>
              <w:jc w:val="left"/>
              <w:rPr>
                <w:rFonts w:ascii="宋体" w:hAnsi="宋体"/>
                <w:color w:val="auto"/>
                <w:szCs w:val="21"/>
              </w:rPr>
            </w:pPr>
            <w:r>
              <w:rPr>
                <w:rFonts w:hint="eastAsia" w:ascii="宋体" w:hAnsi="宋体"/>
                <w:color w:val="auto"/>
                <w:szCs w:val="21"/>
              </w:rPr>
              <w:t>顶岗实习</w:t>
            </w:r>
          </w:p>
          <w:p>
            <w:pPr>
              <w:tabs>
                <w:tab w:val="left" w:pos="2590"/>
              </w:tabs>
              <w:spacing w:line="0" w:lineRule="atLeast"/>
              <w:jc w:val="left"/>
              <w:rPr>
                <w:rFonts w:ascii="宋体" w:hAnsi="宋体"/>
                <w:color w:val="auto"/>
                <w:szCs w:val="21"/>
              </w:rPr>
            </w:pPr>
            <w:r>
              <w:rPr>
                <w:rFonts w:hint="eastAsia" w:ascii="宋体" w:hAnsi="宋体"/>
                <w:color w:val="auto"/>
                <w:szCs w:val="21"/>
              </w:rPr>
              <w:t>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ind w:firstLine="308"/>
              <w:jc w:val="center"/>
              <w:rPr>
                <w:rFonts w:ascii="宋体" w:hAnsi="宋体"/>
                <w:color w:val="auto"/>
                <w:szCs w:val="21"/>
              </w:rPr>
            </w:pPr>
          </w:p>
        </w:tc>
        <w:tc>
          <w:tcPr>
            <w:tcW w:w="862"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会计账务</w:t>
            </w:r>
            <w:r>
              <w:rPr>
                <w:rFonts w:ascii="宋体" w:hAnsi="宋体"/>
                <w:color w:val="auto"/>
                <w:szCs w:val="21"/>
              </w:rPr>
              <w:t>处</w:t>
            </w:r>
            <w:r>
              <w:rPr>
                <w:rFonts w:hint="eastAsia" w:ascii="宋体" w:hAnsi="宋体"/>
                <w:color w:val="auto"/>
                <w:szCs w:val="21"/>
              </w:rPr>
              <w:t>理</w:t>
            </w:r>
          </w:p>
        </w:tc>
        <w:tc>
          <w:tcPr>
            <w:tcW w:w="1452"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left"/>
              <w:rPr>
                <w:rFonts w:ascii="宋体" w:hAnsi="宋体"/>
                <w:color w:val="auto"/>
                <w:szCs w:val="21"/>
              </w:rPr>
            </w:pPr>
            <w:r>
              <w:rPr>
                <w:rFonts w:hint="eastAsia" w:ascii="宋体" w:hAnsi="宋体"/>
                <w:color w:val="auto"/>
                <w:szCs w:val="21"/>
              </w:rPr>
              <w:t>了解</w:t>
            </w:r>
            <w:r>
              <w:rPr>
                <w:rFonts w:ascii="宋体" w:hAnsi="宋体"/>
                <w:color w:val="auto"/>
                <w:szCs w:val="21"/>
              </w:rPr>
              <w:t>企业生产经营特点</w:t>
            </w:r>
            <w:r>
              <w:rPr>
                <w:rFonts w:hint="eastAsia" w:ascii="宋体" w:hAnsi="宋体"/>
                <w:color w:val="auto"/>
                <w:szCs w:val="21"/>
              </w:rPr>
              <w:t>、</w:t>
            </w:r>
            <w:r>
              <w:rPr>
                <w:rFonts w:ascii="宋体" w:hAnsi="宋体"/>
                <w:color w:val="auto"/>
                <w:szCs w:val="21"/>
              </w:rPr>
              <w:t>企业会计的核算特点</w:t>
            </w:r>
            <w:r>
              <w:rPr>
                <w:rFonts w:hint="eastAsia" w:ascii="宋体" w:hAnsi="宋体"/>
                <w:color w:val="auto"/>
                <w:szCs w:val="21"/>
              </w:rPr>
              <w:t>、生产流程，</w:t>
            </w:r>
            <w:r>
              <w:rPr>
                <w:rFonts w:hint="eastAsia" w:ascii="宋体" w:hAnsi="宋体" w:cs="宋体"/>
                <w:color w:val="auto"/>
                <w:szCs w:val="21"/>
                <w:shd w:val="clear" w:color="auto" w:fill="FFFFFF"/>
              </w:rPr>
              <w:t>熟悉</w:t>
            </w:r>
            <w:r>
              <w:rPr>
                <w:rFonts w:hint="eastAsia" w:ascii="宋体" w:hAnsi="宋体" w:cs="宋体"/>
                <w:color w:val="auto"/>
                <w:kern w:val="0"/>
                <w:szCs w:val="21"/>
              </w:rPr>
              <w:t>智能财务机器人会计核算操作，掌握共享财务应用的操作流程，</w:t>
            </w:r>
            <w:r>
              <w:rPr>
                <w:rFonts w:hint="eastAsia" w:ascii="宋体" w:hAnsi="宋体"/>
                <w:color w:val="auto"/>
                <w:szCs w:val="21"/>
              </w:rPr>
              <w:t>掌握期初建账设置要领、会计核算处理流程、报表编制原理等知识。</w:t>
            </w:r>
          </w:p>
        </w:tc>
        <w:tc>
          <w:tcPr>
            <w:tcW w:w="2040"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会期初建账和</w:t>
            </w:r>
            <w:r>
              <w:rPr>
                <w:rFonts w:ascii="宋体" w:hAnsi="宋体"/>
                <w:color w:val="auto"/>
                <w:szCs w:val="21"/>
              </w:rPr>
              <w:t>企业</w:t>
            </w:r>
            <w:r>
              <w:rPr>
                <w:rFonts w:hint="eastAsia" w:ascii="宋体" w:hAnsi="宋体"/>
                <w:color w:val="auto"/>
                <w:szCs w:val="21"/>
              </w:rPr>
              <w:t>日常业务核算，能</w:t>
            </w:r>
            <w:r>
              <w:rPr>
                <w:rFonts w:ascii="宋体" w:hAnsi="宋体"/>
                <w:color w:val="auto"/>
                <w:szCs w:val="21"/>
              </w:rPr>
              <w:t>进行</w:t>
            </w:r>
            <w:r>
              <w:rPr>
                <w:rFonts w:hint="eastAsia" w:ascii="宋体" w:hAnsi="宋体"/>
                <w:color w:val="auto"/>
                <w:szCs w:val="21"/>
              </w:rPr>
              <w:t>期末报表编制与会计档案整理。</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做事踏实、诚信、保密、心细、进取，较强的沟通协调、团队合作能力。</w:t>
            </w:r>
          </w:p>
        </w:tc>
        <w:tc>
          <w:tcPr>
            <w:tcW w:w="2534" w:type="dxa"/>
            <w:vMerge w:val="continue"/>
            <w:tcBorders>
              <w:top w:val="single" w:color="000000" w:sz="4" w:space="0"/>
              <w:left w:val="single" w:color="000000" w:sz="4" w:space="0"/>
              <w:bottom w:val="single" w:color="000000" w:sz="4" w:space="0"/>
              <w:right w:val="single" w:color="000000" w:sz="4" w:space="0"/>
            </w:tcBorders>
          </w:tcPr>
          <w:p>
            <w:pPr>
              <w:tabs>
                <w:tab w:val="left" w:pos="2590"/>
              </w:tabs>
              <w:spacing w:line="0" w:lineRule="atLeas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管理财务</w:t>
            </w:r>
          </w:p>
          <w:p>
            <w:pPr>
              <w:tabs>
                <w:tab w:val="left" w:pos="2590"/>
              </w:tabs>
              <w:spacing w:line="240" w:lineRule="atLeast"/>
              <w:jc w:val="center"/>
              <w:rPr>
                <w:rFonts w:ascii="宋体" w:hAnsi="宋体"/>
                <w:color w:val="auto"/>
                <w:szCs w:val="21"/>
              </w:rPr>
            </w:pPr>
            <w:r>
              <w:rPr>
                <w:rFonts w:hint="eastAsia" w:ascii="宋体" w:hAnsi="宋体"/>
                <w:color w:val="auto"/>
                <w:szCs w:val="21"/>
              </w:rPr>
              <w:t>岗位</w:t>
            </w:r>
          </w:p>
          <w:p>
            <w:pPr>
              <w:tabs>
                <w:tab w:val="left" w:pos="2590"/>
              </w:tabs>
              <w:spacing w:line="240" w:lineRule="atLeast"/>
              <w:rPr>
                <w:rFonts w:ascii="宋体" w:hAnsi="宋体"/>
                <w:color w:val="auto"/>
                <w:szCs w:val="21"/>
              </w:rPr>
            </w:pPr>
            <w:r>
              <w:rPr>
                <w:rFonts w:hint="eastAsia" w:ascii="宋体" w:hAnsi="宋体"/>
                <w:color w:val="auto"/>
                <w:szCs w:val="21"/>
              </w:rPr>
              <w:t>（核心岗位）</w:t>
            </w:r>
          </w:p>
        </w:tc>
        <w:tc>
          <w:tcPr>
            <w:tcW w:w="862"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营运</w:t>
            </w:r>
          </w:p>
          <w:p>
            <w:pPr>
              <w:tabs>
                <w:tab w:val="left" w:pos="2590"/>
              </w:tabs>
              <w:spacing w:line="240" w:lineRule="atLeast"/>
              <w:jc w:val="center"/>
              <w:rPr>
                <w:rFonts w:ascii="宋体" w:hAnsi="宋体"/>
                <w:color w:val="auto"/>
                <w:szCs w:val="21"/>
              </w:rPr>
            </w:pPr>
            <w:r>
              <w:rPr>
                <w:rFonts w:ascii="宋体" w:hAnsi="宋体"/>
                <w:color w:val="auto"/>
                <w:szCs w:val="21"/>
              </w:rPr>
              <w:t>管理</w:t>
            </w:r>
          </w:p>
        </w:tc>
        <w:tc>
          <w:tcPr>
            <w:tcW w:w="1452"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熟悉</w:t>
            </w:r>
            <w:r>
              <w:rPr>
                <w:rFonts w:ascii="宋体" w:hAnsi="宋体"/>
                <w:color w:val="auto"/>
                <w:szCs w:val="21"/>
              </w:rPr>
              <w:t>营运资金管理的内容，</w:t>
            </w:r>
            <w:r>
              <w:rPr>
                <w:rFonts w:hint="eastAsia" w:ascii="宋体" w:hAnsi="宋体"/>
                <w:color w:val="auto"/>
                <w:szCs w:val="21"/>
              </w:rPr>
              <w:t>掌握工程</w:t>
            </w:r>
            <w:r>
              <w:rPr>
                <w:rFonts w:ascii="宋体" w:hAnsi="宋体"/>
                <w:color w:val="auto"/>
                <w:szCs w:val="21"/>
              </w:rPr>
              <w:t>营运资金的管理。</w:t>
            </w:r>
          </w:p>
        </w:tc>
        <w:tc>
          <w:tcPr>
            <w:tcW w:w="2040"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olor w:val="auto"/>
                <w:szCs w:val="21"/>
              </w:rPr>
              <w:t>具有工程资金计划</w:t>
            </w:r>
            <w:r>
              <w:rPr>
                <w:rFonts w:ascii="宋体" w:hAnsi="宋体"/>
                <w:color w:val="auto"/>
                <w:szCs w:val="21"/>
              </w:rPr>
              <w:t>、</w:t>
            </w:r>
            <w:r>
              <w:rPr>
                <w:rFonts w:hint="eastAsia" w:ascii="宋体" w:hAnsi="宋体"/>
                <w:color w:val="auto"/>
                <w:szCs w:val="21"/>
              </w:rPr>
              <w:t>预测、筹资</w:t>
            </w:r>
            <w:r>
              <w:rPr>
                <w:rFonts w:ascii="宋体" w:hAnsi="宋体"/>
                <w:color w:val="auto"/>
                <w:szCs w:val="21"/>
              </w:rPr>
              <w:t>、</w:t>
            </w:r>
            <w:r>
              <w:rPr>
                <w:rFonts w:hint="eastAsia" w:ascii="宋体" w:hAnsi="宋体"/>
                <w:color w:val="auto"/>
                <w:szCs w:val="21"/>
              </w:rPr>
              <w:t>预算、调拨、</w:t>
            </w:r>
            <w:r>
              <w:rPr>
                <w:rFonts w:ascii="宋体" w:hAnsi="宋体"/>
                <w:color w:val="auto"/>
                <w:szCs w:val="21"/>
              </w:rPr>
              <w:t>使用</w:t>
            </w:r>
            <w:r>
              <w:rPr>
                <w:rFonts w:hint="eastAsia" w:ascii="宋体" w:hAnsi="宋体"/>
                <w:color w:val="auto"/>
                <w:szCs w:val="21"/>
              </w:rPr>
              <w:t>等日常管理控制能力；</w:t>
            </w:r>
            <w:r>
              <w:rPr>
                <w:rFonts w:ascii="宋体" w:hAnsi="宋体"/>
                <w:color w:val="auto"/>
                <w:szCs w:val="21"/>
              </w:rPr>
              <w:t>具备应收账款</w:t>
            </w:r>
            <w:r>
              <w:rPr>
                <w:rFonts w:hint="eastAsia" w:ascii="宋体" w:hAnsi="宋体"/>
                <w:color w:val="auto"/>
                <w:szCs w:val="21"/>
              </w:rPr>
              <w:t>信用决策、</w:t>
            </w:r>
            <w:r>
              <w:rPr>
                <w:rFonts w:ascii="宋体" w:hAnsi="宋体"/>
                <w:color w:val="auto"/>
                <w:szCs w:val="21"/>
              </w:rPr>
              <w:t>存货日常管理能力</w:t>
            </w:r>
            <w:r>
              <w:rPr>
                <w:rFonts w:hint="eastAsia" w:ascii="宋体" w:hAnsi="宋体"/>
                <w:color w:val="auto"/>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590"/>
              </w:tabs>
              <w:spacing w:line="240" w:lineRule="atLeast"/>
              <w:jc w:val="left"/>
              <w:rPr>
                <w:rFonts w:ascii="宋体" w:hAnsi="宋体"/>
                <w:color w:val="auto"/>
                <w:szCs w:val="21"/>
              </w:rPr>
            </w:pPr>
            <w:r>
              <w:rPr>
                <w:rFonts w:hint="eastAsia" w:ascii="宋体" w:hAnsi="宋体"/>
                <w:color w:val="auto"/>
                <w:szCs w:val="21"/>
              </w:rPr>
              <w:t>规划、全局意识、较强的沟通协调、团队合作能力。</w:t>
            </w:r>
          </w:p>
        </w:tc>
        <w:tc>
          <w:tcPr>
            <w:tcW w:w="2534"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590"/>
              </w:tabs>
              <w:spacing w:line="0" w:lineRule="atLeast"/>
              <w:jc w:val="left"/>
              <w:rPr>
                <w:rFonts w:ascii="宋体" w:hAnsi="宋体"/>
                <w:color w:val="auto"/>
                <w:szCs w:val="21"/>
              </w:rPr>
            </w:pPr>
            <w:r>
              <w:rPr>
                <w:rFonts w:hint="eastAsia" w:ascii="宋体" w:hAnsi="宋体"/>
                <w:color w:val="auto"/>
                <w:szCs w:val="21"/>
              </w:rPr>
              <w:t>经济法基础</w:t>
            </w:r>
          </w:p>
          <w:p>
            <w:pPr>
              <w:tabs>
                <w:tab w:val="left" w:pos="2590"/>
              </w:tabs>
              <w:spacing w:line="0" w:lineRule="atLeast"/>
              <w:jc w:val="left"/>
              <w:rPr>
                <w:rFonts w:ascii="宋体" w:hAnsi="宋体"/>
                <w:color w:val="auto"/>
                <w:szCs w:val="21"/>
              </w:rPr>
            </w:pPr>
            <w:r>
              <w:rPr>
                <w:rFonts w:hint="eastAsia" w:ascii="宋体" w:hAnsi="宋体"/>
                <w:color w:val="auto"/>
                <w:szCs w:val="21"/>
              </w:rPr>
              <w:t>智能财务</w:t>
            </w:r>
            <w:r>
              <w:rPr>
                <w:rFonts w:ascii="宋体" w:hAnsi="宋体"/>
                <w:color w:val="auto"/>
                <w:szCs w:val="21"/>
              </w:rPr>
              <w:t>应用</w:t>
            </w:r>
          </w:p>
          <w:p>
            <w:pPr>
              <w:pStyle w:val="2"/>
              <w:ind w:firstLine="0" w:firstLineChars="0"/>
              <w:rPr>
                <w:color w:val="auto"/>
                <w:szCs w:val="21"/>
              </w:rPr>
            </w:pPr>
            <w:r>
              <w:rPr>
                <w:rFonts w:hint="eastAsia"/>
                <w:color w:val="auto"/>
                <w:szCs w:val="21"/>
              </w:rPr>
              <w:t>数据库技术财务应用</w:t>
            </w:r>
          </w:p>
          <w:p>
            <w:pPr>
              <w:tabs>
                <w:tab w:val="left" w:pos="2590"/>
              </w:tabs>
              <w:spacing w:line="0" w:lineRule="atLeast"/>
              <w:jc w:val="left"/>
              <w:rPr>
                <w:rFonts w:ascii="宋体" w:hAnsi="宋体" w:cs="宋体"/>
                <w:color w:val="auto"/>
              </w:rPr>
            </w:pPr>
            <w:r>
              <w:rPr>
                <w:rFonts w:hint="eastAsia" w:ascii="宋体" w:hAnsi="宋体" w:cs="宋体"/>
                <w:color w:val="auto"/>
              </w:rPr>
              <w:t>Python技术财务应用</w:t>
            </w:r>
          </w:p>
          <w:p>
            <w:pPr>
              <w:tabs>
                <w:tab w:val="left" w:pos="2590"/>
              </w:tabs>
              <w:spacing w:line="0" w:lineRule="atLeast"/>
              <w:jc w:val="left"/>
              <w:rPr>
                <w:rFonts w:ascii="宋体" w:hAnsi="宋体"/>
                <w:color w:val="auto"/>
                <w:szCs w:val="21"/>
              </w:rPr>
            </w:pPr>
            <w:r>
              <w:rPr>
                <w:rFonts w:hint="eastAsia" w:ascii="宋体" w:hAnsi="宋体"/>
                <w:color w:val="auto"/>
                <w:szCs w:val="21"/>
              </w:rPr>
              <w:t>财政</w:t>
            </w:r>
            <w:r>
              <w:rPr>
                <w:rFonts w:ascii="宋体" w:hAnsi="宋体"/>
                <w:color w:val="auto"/>
                <w:szCs w:val="21"/>
              </w:rPr>
              <w:t>与金融</w:t>
            </w:r>
          </w:p>
          <w:p>
            <w:pPr>
              <w:tabs>
                <w:tab w:val="left" w:pos="2590"/>
              </w:tabs>
              <w:spacing w:line="0" w:lineRule="atLeast"/>
              <w:jc w:val="left"/>
              <w:rPr>
                <w:rFonts w:ascii="宋体" w:hAnsi="宋体"/>
                <w:color w:val="auto"/>
                <w:szCs w:val="21"/>
              </w:rPr>
            </w:pPr>
            <w:r>
              <w:rPr>
                <w:rFonts w:hint="eastAsia" w:ascii="宋体" w:hAnsi="宋体"/>
                <w:color w:val="auto"/>
                <w:szCs w:val="21"/>
              </w:rPr>
              <w:t>工程项目数字化管理</w:t>
            </w:r>
          </w:p>
          <w:p>
            <w:pPr>
              <w:tabs>
                <w:tab w:val="left" w:pos="2590"/>
              </w:tabs>
              <w:spacing w:line="0" w:lineRule="atLeast"/>
              <w:jc w:val="left"/>
              <w:rPr>
                <w:rFonts w:ascii="宋体" w:hAnsi="宋体"/>
                <w:color w:val="auto"/>
                <w:szCs w:val="21"/>
              </w:rPr>
            </w:pPr>
            <w:r>
              <w:rPr>
                <w:rFonts w:hint="eastAsia" w:ascii="宋体" w:hAnsi="宋体"/>
                <w:color w:val="auto"/>
                <w:szCs w:val="21"/>
              </w:rPr>
              <w:t>工程</w:t>
            </w:r>
            <w:r>
              <w:rPr>
                <w:rFonts w:ascii="宋体" w:hAnsi="宋体"/>
                <w:color w:val="auto"/>
                <w:szCs w:val="21"/>
              </w:rPr>
              <w:t>财务管理</w:t>
            </w:r>
          </w:p>
          <w:p>
            <w:pPr>
              <w:tabs>
                <w:tab w:val="left" w:pos="2590"/>
              </w:tabs>
              <w:spacing w:line="0" w:lineRule="atLeast"/>
              <w:jc w:val="left"/>
              <w:rPr>
                <w:rFonts w:hint="eastAsia" w:ascii="宋体" w:hAnsi="宋体" w:eastAsia="宋体"/>
                <w:color w:val="auto"/>
                <w:szCs w:val="21"/>
                <w:lang w:eastAsia="zh-CN"/>
              </w:rPr>
            </w:pPr>
            <w:r>
              <w:rPr>
                <w:rFonts w:hint="eastAsia" w:ascii="宋体" w:hAnsi="宋体"/>
                <w:color w:val="auto"/>
                <w:szCs w:val="21"/>
                <w:lang w:eastAsia="zh-CN"/>
              </w:rPr>
              <w:t>建筑财务数智化应用</w:t>
            </w:r>
          </w:p>
          <w:p>
            <w:pPr>
              <w:tabs>
                <w:tab w:val="left" w:pos="2590"/>
              </w:tabs>
              <w:spacing w:line="0" w:lineRule="atLeast"/>
              <w:jc w:val="left"/>
              <w:rPr>
                <w:rFonts w:ascii="宋体" w:hAnsi="宋体"/>
                <w:color w:val="auto"/>
                <w:szCs w:val="21"/>
              </w:rPr>
            </w:pPr>
            <w:r>
              <w:rPr>
                <w:rFonts w:ascii="宋体" w:hAnsi="宋体"/>
                <w:color w:val="auto"/>
                <w:szCs w:val="21"/>
              </w:rPr>
              <w:t>税</w:t>
            </w:r>
            <w:r>
              <w:rPr>
                <w:rFonts w:hint="eastAsia" w:ascii="宋体" w:hAnsi="宋体"/>
                <w:color w:val="auto"/>
                <w:szCs w:val="21"/>
              </w:rPr>
              <w:t>务实务</w:t>
            </w:r>
            <w:r>
              <w:rPr>
                <w:rFonts w:ascii="宋体" w:hAnsi="宋体"/>
                <w:color w:val="auto"/>
                <w:szCs w:val="21"/>
              </w:rPr>
              <w:t>与筹划</w:t>
            </w:r>
          </w:p>
          <w:p>
            <w:pPr>
              <w:tabs>
                <w:tab w:val="left" w:pos="2590"/>
              </w:tabs>
              <w:spacing w:line="0" w:lineRule="atLeast"/>
              <w:jc w:val="left"/>
              <w:rPr>
                <w:rFonts w:ascii="宋体" w:hAnsi="宋体"/>
                <w:color w:val="auto"/>
                <w:szCs w:val="21"/>
              </w:rPr>
            </w:pPr>
            <w:r>
              <w:rPr>
                <w:rFonts w:hint="eastAsia" w:ascii="宋体" w:hAnsi="宋体"/>
                <w:color w:val="auto"/>
                <w:szCs w:val="21"/>
              </w:rPr>
              <w:t>管理会计</w:t>
            </w:r>
          </w:p>
          <w:p>
            <w:pPr>
              <w:spacing w:line="0" w:lineRule="atLeast"/>
              <w:jc w:val="left"/>
              <w:rPr>
                <w:rFonts w:ascii="MS Mincho" w:hAnsi="MS Mincho" w:cs="MS Mincho"/>
                <w:iCs/>
                <w:color w:val="auto"/>
                <w:szCs w:val="21"/>
              </w:rPr>
            </w:pPr>
            <w:r>
              <w:rPr>
                <w:rFonts w:ascii="MS Mincho" w:hAnsi="MS Mincho" w:cs="MS Mincho"/>
                <w:iCs/>
                <w:color w:val="auto"/>
                <w:szCs w:val="21"/>
              </w:rPr>
              <w:t>财务管理实训</w:t>
            </w:r>
          </w:p>
          <w:p>
            <w:pPr>
              <w:tabs>
                <w:tab w:val="left" w:pos="2590"/>
              </w:tabs>
              <w:spacing w:line="0" w:lineRule="atLeast"/>
              <w:jc w:val="left"/>
              <w:rPr>
                <w:rFonts w:ascii="宋体" w:hAnsi="宋体"/>
                <w:bCs/>
                <w:color w:val="auto"/>
                <w:szCs w:val="21"/>
              </w:rPr>
            </w:pPr>
            <w:r>
              <w:rPr>
                <w:rFonts w:hint="eastAsia" w:ascii="宋体" w:hAnsi="宋体"/>
                <w:bCs/>
                <w:color w:val="auto"/>
                <w:szCs w:val="21"/>
              </w:rPr>
              <w:t>管理</w:t>
            </w:r>
            <w:r>
              <w:rPr>
                <w:rFonts w:ascii="宋体" w:hAnsi="宋体"/>
                <w:bCs/>
                <w:color w:val="auto"/>
                <w:szCs w:val="21"/>
              </w:rPr>
              <w:t>会计实训</w:t>
            </w:r>
          </w:p>
          <w:p>
            <w:pPr>
              <w:tabs>
                <w:tab w:val="left" w:pos="2590"/>
              </w:tabs>
              <w:spacing w:line="0" w:lineRule="atLeast"/>
              <w:jc w:val="left"/>
              <w:rPr>
                <w:rFonts w:ascii="宋体" w:hAnsi="宋体"/>
                <w:color w:val="auto"/>
                <w:szCs w:val="21"/>
              </w:rPr>
            </w:pPr>
            <w:r>
              <w:rPr>
                <w:rFonts w:hint="eastAsia" w:ascii="宋体" w:hAnsi="宋体"/>
                <w:color w:val="auto"/>
                <w:szCs w:val="21"/>
              </w:rPr>
              <w:t>建筑业税财一体化实训</w:t>
            </w:r>
          </w:p>
          <w:p>
            <w:pPr>
              <w:tabs>
                <w:tab w:val="left" w:pos="2590"/>
              </w:tabs>
              <w:spacing w:line="0" w:lineRule="atLeast"/>
              <w:jc w:val="left"/>
              <w:rPr>
                <w:rFonts w:ascii="宋体" w:hAnsi="宋体"/>
                <w:color w:val="auto"/>
                <w:szCs w:val="21"/>
              </w:rPr>
            </w:pPr>
            <w:r>
              <w:rPr>
                <w:rFonts w:hint="eastAsia" w:ascii="宋体" w:hAnsi="宋体"/>
                <w:color w:val="auto"/>
                <w:szCs w:val="21"/>
              </w:rPr>
              <w:t>制造</w:t>
            </w:r>
            <w:r>
              <w:rPr>
                <w:rFonts w:ascii="宋体" w:hAnsi="宋体"/>
                <w:color w:val="auto"/>
                <w:szCs w:val="21"/>
              </w:rPr>
              <w:t>企业</w:t>
            </w:r>
            <w:r>
              <w:rPr>
                <w:rFonts w:hint="eastAsia" w:ascii="宋体" w:hAnsi="宋体"/>
                <w:color w:val="auto"/>
                <w:szCs w:val="21"/>
              </w:rPr>
              <w:t>全流程实战实训</w:t>
            </w:r>
          </w:p>
          <w:p>
            <w:pPr>
              <w:tabs>
                <w:tab w:val="left" w:pos="2590"/>
              </w:tabs>
              <w:spacing w:line="0" w:lineRule="atLeast"/>
              <w:jc w:val="left"/>
              <w:rPr>
                <w:rFonts w:ascii="宋体" w:hAnsi="宋体"/>
                <w:color w:val="auto"/>
                <w:szCs w:val="21"/>
              </w:rPr>
            </w:pPr>
            <w:r>
              <w:rPr>
                <w:rFonts w:hint="eastAsia" w:ascii="宋体" w:hAnsi="宋体"/>
                <w:color w:val="auto"/>
                <w:szCs w:val="21"/>
              </w:rPr>
              <w:t>智能财务机器人应用</w:t>
            </w:r>
          </w:p>
          <w:p>
            <w:pPr>
              <w:tabs>
                <w:tab w:val="left" w:pos="2590"/>
              </w:tabs>
              <w:spacing w:line="0" w:lineRule="atLeast"/>
              <w:jc w:val="left"/>
              <w:rPr>
                <w:rFonts w:ascii="宋体" w:hAnsi="宋体"/>
                <w:color w:val="auto"/>
                <w:szCs w:val="21"/>
              </w:rPr>
            </w:pPr>
            <w:r>
              <w:rPr>
                <w:rFonts w:hint="eastAsia" w:ascii="宋体" w:hAnsi="宋体"/>
                <w:color w:val="auto"/>
                <w:szCs w:val="21"/>
              </w:rPr>
              <w:t>大数据财务</w:t>
            </w:r>
            <w:r>
              <w:rPr>
                <w:rFonts w:ascii="宋体" w:hAnsi="宋体"/>
                <w:color w:val="auto"/>
                <w:szCs w:val="21"/>
              </w:rPr>
              <w:t>分析</w:t>
            </w:r>
          </w:p>
          <w:p>
            <w:pPr>
              <w:tabs>
                <w:tab w:val="left" w:pos="2590"/>
              </w:tabs>
              <w:spacing w:line="0" w:lineRule="atLeast"/>
              <w:jc w:val="left"/>
              <w:rPr>
                <w:rFonts w:ascii="宋体" w:hAnsi="宋体"/>
                <w:color w:val="auto"/>
                <w:szCs w:val="21"/>
              </w:rPr>
            </w:pPr>
            <w:r>
              <w:rPr>
                <w:rFonts w:hint="eastAsia" w:ascii="宋体" w:hAnsi="宋体"/>
                <w:color w:val="auto"/>
                <w:szCs w:val="21"/>
              </w:rPr>
              <w:t>成本</w:t>
            </w:r>
            <w:r>
              <w:rPr>
                <w:rFonts w:ascii="宋体" w:hAnsi="宋体"/>
                <w:color w:val="auto"/>
                <w:szCs w:val="21"/>
              </w:rPr>
              <w:t>会计</w:t>
            </w:r>
          </w:p>
          <w:p>
            <w:pPr>
              <w:tabs>
                <w:tab w:val="left" w:pos="2590"/>
              </w:tabs>
              <w:spacing w:line="0" w:lineRule="atLeast"/>
              <w:jc w:val="left"/>
              <w:rPr>
                <w:rFonts w:ascii="宋体" w:hAnsi="宋体" w:cs="宋体"/>
                <w:color w:val="auto"/>
                <w:szCs w:val="21"/>
              </w:rPr>
            </w:pPr>
            <w:r>
              <w:rPr>
                <w:rFonts w:hint="eastAsia" w:ascii="宋体" w:hAnsi="宋体" w:cs="宋体"/>
                <w:color w:val="auto"/>
                <w:szCs w:val="21"/>
              </w:rPr>
              <w:t>建筑企业物资管理</w:t>
            </w:r>
          </w:p>
          <w:p>
            <w:pPr>
              <w:tabs>
                <w:tab w:val="left" w:pos="2590"/>
              </w:tabs>
              <w:spacing w:line="0" w:lineRule="atLeast"/>
              <w:jc w:val="left"/>
              <w:rPr>
                <w:rFonts w:ascii="宋体" w:hAnsi="宋体"/>
                <w:iCs/>
                <w:color w:val="auto"/>
                <w:szCs w:val="21"/>
              </w:rPr>
            </w:pPr>
            <w:r>
              <w:rPr>
                <w:rFonts w:hint="eastAsia" w:ascii="宋体" w:hAnsi="宋体"/>
                <w:iCs/>
                <w:color w:val="auto"/>
                <w:szCs w:val="21"/>
              </w:rPr>
              <w:t>企业</w:t>
            </w:r>
            <w:r>
              <w:rPr>
                <w:rFonts w:ascii="宋体" w:hAnsi="宋体"/>
                <w:iCs/>
                <w:color w:val="auto"/>
                <w:szCs w:val="21"/>
              </w:rPr>
              <w:t>战略管理</w:t>
            </w:r>
          </w:p>
          <w:p>
            <w:pPr>
              <w:tabs>
                <w:tab w:val="left" w:pos="2590"/>
              </w:tabs>
              <w:spacing w:line="0" w:lineRule="atLeast"/>
              <w:jc w:val="left"/>
              <w:rPr>
                <w:rFonts w:ascii="宋体" w:hAnsi="宋体"/>
                <w:color w:val="auto"/>
                <w:szCs w:val="21"/>
              </w:rPr>
            </w:pPr>
            <w:r>
              <w:rPr>
                <w:rFonts w:hint="eastAsia" w:ascii="宋体" w:hAnsi="宋体"/>
                <w:color w:val="auto"/>
                <w:szCs w:val="21"/>
              </w:rPr>
              <w:t>职业基本素养</w:t>
            </w:r>
          </w:p>
          <w:p>
            <w:pPr>
              <w:tabs>
                <w:tab w:val="left" w:pos="2590"/>
              </w:tabs>
              <w:spacing w:line="0" w:lineRule="atLeast"/>
              <w:jc w:val="left"/>
              <w:rPr>
                <w:rFonts w:ascii="宋体" w:hAnsi="宋体"/>
                <w:color w:val="auto"/>
                <w:szCs w:val="21"/>
              </w:rPr>
            </w:pPr>
            <w:r>
              <w:rPr>
                <w:rFonts w:hint="eastAsia" w:ascii="宋体" w:hAnsi="宋体"/>
                <w:color w:val="auto"/>
                <w:szCs w:val="21"/>
              </w:rPr>
              <w:t>最新财税政策解读</w:t>
            </w:r>
          </w:p>
          <w:p>
            <w:pPr>
              <w:tabs>
                <w:tab w:val="left" w:pos="2590"/>
              </w:tabs>
              <w:spacing w:line="0" w:lineRule="atLeast"/>
              <w:jc w:val="left"/>
              <w:rPr>
                <w:rFonts w:ascii="宋体" w:hAnsi="宋体"/>
                <w:color w:val="auto"/>
                <w:szCs w:val="21"/>
              </w:rPr>
            </w:pPr>
            <w:r>
              <w:rPr>
                <w:rFonts w:hint="eastAsia" w:ascii="宋体" w:hAnsi="宋体"/>
                <w:color w:val="auto"/>
                <w:szCs w:val="21"/>
              </w:rPr>
              <w:t>毕业设计</w:t>
            </w:r>
          </w:p>
          <w:p>
            <w:pPr>
              <w:tabs>
                <w:tab w:val="left" w:pos="2590"/>
              </w:tabs>
              <w:spacing w:line="0" w:lineRule="atLeast"/>
              <w:jc w:val="left"/>
              <w:rPr>
                <w:rFonts w:ascii="宋体" w:hAnsi="宋体"/>
                <w:color w:val="auto"/>
                <w:szCs w:val="21"/>
              </w:rPr>
            </w:pPr>
            <w:r>
              <w:rPr>
                <w:rFonts w:hint="eastAsia" w:ascii="宋体" w:hAnsi="宋体"/>
                <w:color w:val="auto"/>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0" w:type="dxa"/>
            <w:vMerge w:val="continue"/>
            <w:tcBorders>
              <w:top w:val="single" w:color="000000" w:sz="4" w:space="0"/>
            </w:tcBorders>
            <w:vAlign w:val="center"/>
          </w:tcPr>
          <w:p>
            <w:pPr>
              <w:tabs>
                <w:tab w:val="left" w:pos="2590"/>
              </w:tabs>
              <w:spacing w:line="240" w:lineRule="atLeast"/>
              <w:jc w:val="center"/>
              <w:rPr>
                <w:rFonts w:ascii="宋体" w:hAnsi="宋体"/>
                <w:color w:val="auto"/>
                <w:szCs w:val="21"/>
              </w:rPr>
            </w:pPr>
          </w:p>
        </w:tc>
        <w:tc>
          <w:tcPr>
            <w:tcW w:w="862" w:type="dxa"/>
            <w:tcBorders>
              <w:top w:val="single" w:color="000000" w:sz="4" w:space="0"/>
            </w:tcBorders>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成本</w:t>
            </w:r>
          </w:p>
          <w:p>
            <w:pPr>
              <w:tabs>
                <w:tab w:val="left" w:pos="2590"/>
              </w:tabs>
              <w:spacing w:line="240" w:lineRule="atLeast"/>
              <w:jc w:val="center"/>
              <w:rPr>
                <w:rFonts w:ascii="宋体" w:hAnsi="宋体"/>
                <w:color w:val="auto"/>
                <w:szCs w:val="21"/>
              </w:rPr>
            </w:pPr>
            <w:r>
              <w:rPr>
                <w:rFonts w:ascii="宋体" w:hAnsi="宋体"/>
                <w:color w:val="auto"/>
                <w:szCs w:val="21"/>
              </w:rPr>
              <w:t>管理</w:t>
            </w:r>
          </w:p>
        </w:tc>
        <w:tc>
          <w:tcPr>
            <w:tcW w:w="1452" w:type="dxa"/>
            <w:tcBorders>
              <w:top w:val="single" w:color="000000" w:sz="4" w:space="0"/>
            </w:tcBorders>
            <w:vAlign w:val="center"/>
          </w:tcPr>
          <w:p>
            <w:pPr>
              <w:tabs>
                <w:tab w:val="left" w:pos="2590"/>
              </w:tabs>
              <w:spacing w:line="240" w:lineRule="atLeast"/>
              <w:rPr>
                <w:rFonts w:ascii="宋体" w:hAnsi="宋体"/>
                <w:color w:val="auto"/>
                <w:szCs w:val="21"/>
              </w:rPr>
            </w:pPr>
            <w:r>
              <w:rPr>
                <w:rFonts w:hint="eastAsia" w:ascii="宋体" w:hAnsi="宋体" w:cs="宋体"/>
                <w:color w:val="auto"/>
                <w:szCs w:val="21"/>
              </w:rPr>
              <w:t>掌握成本构成内容，熟悉成本核算方法和原理，掌握</w:t>
            </w:r>
            <w:r>
              <w:rPr>
                <w:rFonts w:ascii="宋体" w:hAnsi="宋体" w:cs="宋体"/>
                <w:color w:val="auto"/>
                <w:szCs w:val="21"/>
              </w:rPr>
              <w:t>预测方法</w:t>
            </w:r>
            <w:r>
              <w:rPr>
                <w:rFonts w:hint="eastAsia" w:ascii="宋体" w:hAnsi="宋体" w:cs="宋体"/>
                <w:color w:val="auto"/>
                <w:szCs w:val="21"/>
              </w:rPr>
              <w:t>和</w:t>
            </w:r>
            <w:r>
              <w:rPr>
                <w:rFonts w:ascii="宋体" w:hAnsi="宋体" w:cs="宋体"/>
                <w:color w:val="auto"/>
                <w:szCs w:val="21"/>
              </w:rPr>
              <w:t>成本差异分析。</w:t>
            </w:r>
          </w:p>
        </w:tc>
        <w:tc>
          <w:tcPr>
            <w:tcW w:w="2040" w:type="dxa"/>
            <w:tcBorders>
              <w:top w:val="single" w:color="000000" w:sz="4" w:space="0"/>
            </w:tcBorders>
            <w:vAlign w:val="center"/>
          </w:tcPr>
          <w:p>
            <w:pPr>
              <w:tabs>
                <w:tab w:val="left" w:pos="2590"/>
              </w:tabs>
              <w:spacing w:line="240" w:lineRule="atLeast"/>
              <w:rPr>
                <w:rFonts w:ascii="宋体" w:hAnsi="宋体" w:cs="宋体"/>
                <w:color w:val="auto"/>
                <w:szCs w:val="21"/>
              </w:rPr>
            </w:pPr>
            <w:r>
              <w:rPr>
                <w:rFonts w:hint="eastAsia" w:ascii="宋体" w:hAnsi="宋体" w:cs="宋体"/>
                <w:color w:val="auto"/>
                <w:szCs w:val="21"/>
              </w:rPr>
              <w:t>能对</w:t>
            </w:r>
            <w:r>
              <w:rPr>
                <w:rFonts w:ascii="宋体" w:hAnsi="宋体" w:cs="宋体"/>
                <w:color w:val="auto"/>
                <w:szCs w:val="21"/>
              </w:rPr>
              <w:t>项目开展成本</w:t>
            </w:r>
            <w:r>
              <w:rPr>
                <w:rFonts w:hint="eastAsia" w:ascii="宋体" w:hAnsi="宋体" w:cs="宋体"/>
                <w:color w:val="auto"/>
                <w:szCs w:val="21"/>
              </w:rPr>
              <w:t>预测</w:t>
            </w:r>
            <w:r>
              <w:rPr>
                <w:rFonts w:ascii="宋体" w:hAnsi="宋体" w:cs="宋体"/>
                <w:color w:val="auto"/>
                <w:szCs w:val="21"/>
              </w:rPr>
              <w:t>和管控，</w:t>
            </w:r>
            <w:r>
              <w:rPr>
                <w:rFonts w:hint="eastAsia" w:ascii="宋体" w:hAnsi="宋体" w:cs="宋体"/>
                <w:color w:val="auto"/>
                <w:szCs w:val="21"/>
              </w:rPr>
              <w:t>能用财务指标进行成本差异分析。</w:t>
            </w:r>
          </w:p>
        </w:tc>
        <w:tc>
          <w:tcPr>
            <w:tcW w:w="1576" w:type="dxa"/>
            <w:tcBorders>
              <w:top w:val="single" w:color="000000" w:sz="4" w:space="0"/>
            </w:tcBorders>
            <w:vAlign w:val="center"/>
          </w:tcPr>
          <w:p>
            <w:pPr>
              <w:tabs>
                <w:tab w:val="left" w:pos="2590"/>
              </w:tabs>
              <w:spacing w:line="240" w:lineRule="atLeast"/>
              <w:rPr>
                <w:rFonts w:ascii="宋体" w:hAnsi="宋体" w:cs="宋体"/>
                <w:color w:val="auto"/>
                <w:szCs w:val="21"/>
              </w:rPr>
            </w:pPr>
            <w:r>
              <w:rPr>
                <w:rFonts w:hint="eastAsia" w:ascii="宋体" w:hAnsi="宋体" w:cs="宋体"/>
                <w:color w:val="auto"/>
                <w:szCs w:val="21"/>
              </w:rPr>
              <w:t>有全过程成本管控的理念，成本效益意识、精打细算、</w:t>
            </w:r>
            <w:r>
              <w:rPr>
                <w:rFonts w:hint="eastAsia" w:ascii="宋体" w:hAnsi="宋体"/>
                <w:color w:val="auto"/>
                <w:szCs w:val="21"/>
              </w:rPr>
              <w:t>较强的沟通协调、团队合作能力。</w:t>
            </w:r>
          </w:p>
        </w:tc>
        <w:tc>
          <w:tcPr>
            <w:tcW w:w="2534" w:type="dxa"/>
            <w:vMerge w:val="continue"/>
            <w:tcBorders>
              <w:top w:val="single" w:color="000000" w:sz="4" w:space="0"/>
            </w:tcBorders>
            <w:vAlign w:val="center"/>
          </w:tcPr>
          <w:p>
            <w:pPr>
              <w:tabs>
                <w:tab w:val="left" w:pos="2590"/>
              </w:tabs>
              <w:spacing w:line="0" w:lineRule="atLeast"/>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0" w:type="dxa"/>
            <w:vMerge w:val="continue"/>
            <w:vAlign w:val="center"/>
          </w:tcPr>
          <w:p>
            <w:pPr>
              <w:tabs>
                <w:tab w:val="left" w:pos="2590"/>
              </w:tabs>
              <w:spacing w:line="240" w:lineRule="atLeast"/>
              <w:jc w:val="center"/>
              <w:rPr>
                <w:rFonts w:ascii="宋体" w:hAnsi="宋体"/>
                <w:color w:val="auto"/>
                <w:szCs w:val="21"/>
              </w:rPr>
            </w:pPr>
          </w:p>
        </w:tc>
        <w:tc>
          <w:tcPr>
            <w:tcW w:w="862" w:type="dxa"/>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纳税</w:t>
            </w:r>
          </w:p>
          <w:p>
            <w:pPr>
              <w:tabs>
                <w:tab w:val="left" w:pos="2590"/>
              </w:tabs>
              <w:spacing w:line="240" w:lineRule="atLeast"/>
              <w:jc w:val="center"/>
              <w:rPr>
                <w:rFonts w:ascii="宋体" w:hAnsi="宋体"/>
                <w:color w:val="auto"/>
                <w:szCs w:val="21"/>
              </w:rPr>
            </w:pPr>
            <w:r>
              <w:rPr>
                <w:rFonts w:ascii="宋体" w:hAnsi="宋体"/>
                <w:color w:val="auto"/>
                <w:szCs w:val="21"/>
              </w:rPr>
              <w:t>管理</w:t>
            </w:r>
          </w:p>
        </w:tc>
        <w:tc>
          <w:tcPr>
            <w:tcW w:w="1452" w:type="dxa"/>
            <w:vAlign w:val="center"/>
          </w:tcPr>
          <w:p>
            <w:pPr>
              <w:tabs>
                <w:tab w:val="left" w:pos="2590"/>
              </w:tabs>
              <w:spacing w:line="240" w:lineRule="atLeast"/>
              <w:rPr>
                <w:rFonts w:ascii="宋体" w:hAnsi="宋体"/>
                <w:color w:val="auto"/>
                <w:szCs w:val="21"/>
              </w:rPr>
            </w:pPr>
            <w:r>
              <w:rPr>
                <w:rFonts w:hint="eastAsia" w:ascii="宋体" w:hAnsi="宋体"/>
                <w:color w:val="auto"/>
                <w:szCs w:val="21"/>
              </w:rPr>
              <w:t>理解流转税、所得税等税种的相关政策，掌握相关涉税业务的核算、纳税申报处理技巧。</w:t>
            </w:r>
          </w:p>
        </w:tc>
        <w:tc>
          <w:tcPr>
            <w:tcW w:w="2040" w:type="dxa"/>
            <w:vAlign w:val="center"/>
          </w:tcPr>
          <w:p>
            <w:pPr>
              <w:tabs>
                <w:tab w:val="left" w:pos="2590"/>
              </w:tabs>
              <w:spacing w:line="240" w:lineRule="atLeast"/>
              <w:rPr>
                <w:rFonts w:ascii="宋体" w:hAnsi="宋体"/>
                <w:color w:val="auto"/>
                <w:szCs w:val="21"/>
              </w:rPr>
            </w:pPr>
            <w:r>
              <w:rPr>
                <w:rFonts w:hint="eastAsia" w:ascii="宋体" w:hAnsi="宋体"/>
                <w:color w:val="auto"/>
                <w:szCs w:val="21"/>
              </w:rPr>
              <w:t>能解读国家税收政策，会进行纳税</w:t>
            </w:r>
            <w:r>
              <w:rPr>
                <w:rFonts w:ascii="宋体" w:hAnsi="宋体"/>
                <w:color w:val="auto"/>
                <w:szCs w:val="21"/>
              </w:rPr>
              <w:t>筹划、</w:t>
            </w:r>
            <w:r>
              <w:rPr>
                <w:rFonts w:hint="eastAsia" w:ascii="宋体" w:hAnsi="宋体"/>
                <w:color w:val="auto"/>
                <w:szCs w:val="21"/>
              </w:rPr>
              <w:t>纳税申报、</w:t>
            </w:r>
            <w:r>
              <w:rPr>
                <w:rFonts w:ascii="宋体" w:hAnsi="宋体"/>
                <w:color w:val="auto"/>
                <w:szCs w:val="21"/>
              </w:rPr>
              <w:t>纳税成本管理</w:t>
            </w:r>
            <w:r>
              <w:rPr>
                <w:rFonts w:hint="eastAsia" w:ascii="宋体" w:hAnsi="宋体"/>
                <w:color w:val="auto"/>
                <w:szCs w:val="21"/>
              </w:rPr>
              <w:t>。</w:t>
            </w:r>
          </w:p>
        </w:tc>
        <w:tc>
          <w:tcPr>
            <w:tcW w:w="1576" w:type="dxa"/>
            <w:vAlign w:val="center"/>
          </w:tcPr>
          <w:p>
            <w:pPr>
              <w:tabs>
                <w:tab w:val="left" w:pos="2590"/>
              </w:tabs>
              <w:spacing w:line="240" w:lineRule="atLeast"/>
              <w:rPr>
                <w:rFonts w:ascii="宋体" w:hAnsi="宋体"/>
                <w:color w:val="auto"/>
                <w:szCs w:val="21"/>
              </w:rPr>
            </w:pPr>
            <w:r>
              <w:rPr>
                <w:rFonts w:hint="eastAsia" w:ascii="宋体" w:hAnsi="宋体"/>
                <w:color w:val="auto"/>
                <w:szCs w:val="21"/>
              </w:rPr>
              <w:t>诚信依法纳税、科学合理避税、较强的沟通协调、团队合作能力。</w:t>
            </w:r>
          </w:p>
        </w:tc>
        <w:tc>
          <w:tcPr>
            <w:tcW w:w="2534" w:type="dxa"/>
            <w:vMerge w:val="continue"/>
            <w:vAlign w:val="center"/>
          </w:tcPr>
          <w:p>
            <w:pPr>
              <w:tabs>
                <w:tab w:val="left" w:pos="2590"/>
              </w:tabs>
              <w:spacing w:line="0" w:lineRule="atLeast"/>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470" w:type="dxa"/>
            <w:vMerge w:val="restart"/>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战略财务</w:t>
            </w:r>
          </w:p>
          <w:p>
            <w:pPr>
              <w:tabs>
                <w:tab w:val="left" w:pos="2590"/>
              </w:tabs>
              <w:spacing w:line="240" w:lineRule="atLeast"/>
              <w:jc w:val="center"/>
              <w:rPr>
                <w:rFonts w:ascii="宋体" w:hAnsi="宋体"/>
                <w:color w:val="auto"/>
                <w:szCs w:val="21"/>
              </w:rPr>
            </w:pPr>
            <w:r>
              <w:rPr>
                <w:rFonts w:hint="eastAsia" w:ascii="宋体" w:hAnsi="宋体"/>
                <w:color w:val="auto"/>
                <w:szCs w:val="21"/>
              </w:rPr>
              <w:t>岗位</w:t>
            </w:r>
          </w:p>
          <w:p>
            <w:pPr>
              <w:tabs>
                <w:tab w:val="left" w:pos="2590"/>
              </w:tabs>
              <w:spacing w:line="240" w:lineRule="atLeast"/>
              <w:jc w:val="left"/>
              <w:rPr>
                <w:rFonts w:ascii="宋体" w:hAnsi="宋体"/>
                <w:color w:val="auto"/>
                <w:szCs w:val="21"/>
              </w:rPr>
            </w:pPr>
            <w:r>
              <w:rPr>
                <w:rFonts w:hint="eastAsia" w:ascii="宋体" w:hAnsi="宋体"/>
                <w:color w:val="auto"/>
                <w:szCs w:val="21"/>
              </w:rPr>
              <w:t>（发展岗位）</w:t>
            </w:r>
          </w:p>
          <w:p>
            <w:pPr>
              <w:tabs>
                <w:tab w:val="left" w:pos="2590"/>
              </w:tabs>
              <w:spacing w:line="240" w:lineRule="atLeast"/>
              <w:jc w:val="center"/>
              <w:rPr>
                <w:rFonts w:ascii="宋体" w:hAnsi="宋体"/>
                <w:color w:val="auto"/>
                <w:szCs w:val="21"/>
              </w:rPr>
            </w:pPr>
          </w:p>
        </w:tc>
        <w:tc>
          <w:tcPr>
            <w:tcW w:w="862" w:type="dxa"/>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经营</w:t>
            </w:r>
            <w:r>
              <w:rPr>
                <w:rFonts w:ascii="宋体" w:hAnsi="宋体"/>
                <w:color w:val="auto"/>
                <w:szCs w:val="21"/>
              </w:rPr>
              <w:t>数据分析</w:t>
            </w:r>
          </w:p>
        </w:tc>
        <w:tc>
          <w:tcPr>
            <w:tcW w:w="1452" w:type="dxa"/>
            <w:vAlign w:val="center"/>
          </w:tcPr>
          <w:p>
            <w:pPr>
              <w:tabs>
                <w:tab w:val="left" w:pos="2590"/>
              </w:tabs>
              <w:spacing w:line="240" w:lineRule="atLeast"/>
              <w:rPr>
                <w:rFonts w:ascii="宋体" w:hAnsi="宋体" w:cs="宋体"/>
                <w:color w:val="auto"/>
                <w:szCs w:val="21"/>
                <w:shd w:val="clear" w:color="auto" w:fill="FFFFFF"/>
              </w:rPr>
            </w:pPr>
            <w:r>
              <w:rPr>
                <w:rFonts w:hint="eastAsia" w:ascii="宋体" w:hAnsi="宋体" w:cs="宋体"/>
                <w:color w:val="auto"/>
                <w:szCs w:val="21"/>
                <w:shd w:val="clear" w:color="auto" w:fill="FFFFFF"/>
              </w:rPr>
              <w:t>熟悉</w:t>
            </w:r>
            <w:r>
              <w:rPr>
                <w:rFonts w:ascii="宋体" w:hAnsi="宋体" w:cs="宋体"/>
                <w:color w:val="auto"/>
                <w:szCs w:val="21"/>
                <w:shd w:val="clear" w:color="auto" w:fill="FFFFFF"/>
              </w:rPr>
              <w:t>经营数据分析的基础理论，掌握经营数据分析的方法。</w:t>
            </w:r>
          </w:p>
        </w:tc>
        <w:tc>
          <w:tcPr>
            <w:tcW w:w="2040" w:type="dxa"/>
            <w:vAlign w:val="center"/>
          </w:tcPr>
          <w:p>
            <w:pPr>
              <w:tabs>
                <w:tab w:val="left" w:pos="2590"/>
              </w:tabs>
              <w:spacing w:line="240" w:lineRule="atLeast"/>
              <w:rPr>
                <w:color w:val="auto"/>
              </w:rPr>
            </w:pPr>
            <w:r>
              <w:rPr>
                <w:rFonts w:hint="eastAsia"/>
                <w:color w:val="auto"/>
              </w:rPr>
              <w:t>能运用大数据技术对</w:t>
            </w:r>
            <w:r>
              <w:rPr>
                <w:color w:val="auto"/>
              </w:rPr>
              <w:t>企业</w:t>
            </w:r>
            <w:r>
              <w:rPr>
                <w:rFonts w:hint="eastAsia"/>
                <w:color w:val="auto"/>
              </w:rPr>
              <w:t>经营</w:t>
            </w:r>
            <w:r>
              <w:rPr>
                <w:color w:val="auto"/>
              </w:rPr>
              <w:t>数据进行</w:t>
            </w:r>
            <w:r>
              <w:rPr>
                <w:rFonts w:hint="eastAsia" w:ascii="宋体"/>
                <w:color w:val="auto"/>
                <w:kern w:val="10"/>
                <w:szCs w:val="21"/>
              </w:rPr>
              <w:t>采集、加工、分析、挖掘和可视化分析。</w:t>
            </w:r>
          </w:p>
        </w:tc>
        <w:tc>
          <w:tcPr>
            <w:tcW w:w="1576" w:type="dxa"/>
            <w:vAlign w:val="center"/>
          </w:tcPr>
          <w:p>
            <w:pPr>
              <w:tabs>
                <w:tab w:val="left" w:pos="2590"/>
              </w:tabs>
              <w:spacing w:line="240" w:lineRule="atLeast"/>
              <w:rPr>
                <w:color w:val="auto"/>
              </w:rPr>
            </w:pPr>
            <w:r>
              <w:rPr>
                <w:rFonts w:hint="eastAsia" w:ascii="宋体" w:hAnsi="宋体" w:cs="宋体"/>
                <w:color w:val="auto"/>
                <w:szCs w:val="21"/>
                <w:shd w:val="clear" w:color="auto" w:fill="FFFFFF"/>
              </w:rPr>
              <w:t>敏锐的数据洞察意识</w:t>
            </w:r>
            <w:r>
              <w:rPr>
                <w:color w:val="auto"/>
              </w:rPr>
              <w:t>和良好的表达能力</w:t>
            </w:r>
            <w:r>
              <w:rPr>
                <w:rFonts w:hint="eastAsia"/>
                <w:color w:val="auto"/>
              </w:rPr>
              <w:t>。</w:t>
            </w:r>
          </w:p>
        </w:tc>
        <w:tc>
          <w:tcPr>
            <w:tcW w:w="2534" w:type="dxa"/>
            <w:vMerge w:val="restart"/>
            <w:vAlign w:val="center"/>
          </w:tcPr>
          <w:p>
            <w:pPr>
              <w:tabs>
                <w:tab w:val="left" w:pos="2590"/>
              </w:tabs>
              <w:spacing w:line="0" w:lineRule="atLeast"/>
              <w:jc w:val="left"/>
              <w:rPr>
                <w:rFonts w:ascii="Arial" w:hAnsi="Arial" w:cs="Arial"/>
                <w:color w:val="auto"/>
                <w:szCs w:val="21"/>
              </w:rPr>
            </w:pPr>
            <w:r>
              <w:rPr>
                <w:rFonts w:hint="eastAsia" w:ascii="宋体" w:hAnsi="宋体" w:cs="Arial"/>
                <w:color w:val="auto"/>
                <w:szCs w:val="21"/>
              </w:rPr>
              <w:t>Excel</w:t>
            </w:r>
            <w:r>
              <w:rPr>
                <w:rFonts w:hint="eastAsia" w:ascii="Arial" w:hAnsi="Arial" w:cs="Arial"/>
                <w:color w:val="auto"/>
                <w:szCs w:val="21"/>
              </w:rPr>
              <w:t>在财会中的应用</w:t>
            </w:r>
          </w:p>
          <w:p>
            <w:pPr>
              <w:tabs>
                <w:tab w:val="left" w:pos="2590"/>
              </w:tabs>
              <w:spacing w:line="0" w:lineRule="atLeast"/>
              <w:jc w:val="left"/>
              <w:rPr>
                <w:rFonts w:ascii="宋体" w:hAnsi="宋体"/>
                <w:color w:val="auto"/>
                <w:szCs w:val="21"/>
              </w:rPr>
            </w:pPr>
            <w:r>
              <w:rPr>
                <w:rFonts w:hint="eastAsia" w:ascii="宋体" w:hAnsi="宋体"/>
                <w:color w:val="auto"/>
                <w:szCs w:val="21"/>
              </w:rPr>
              <w:t>智能财务</w:t>
            </w:r>
            <w:r>
              <w:rPr>
                <w:rFonts w:ascii="宋体" w:hAnsi="宋体"/>
                <w:color w:val="auto"/>
                <w:szCs w:val="21"/>
              </w:rPr>
              <w:t>应用</w:t>
            </w:r>
          </w:p>
          <w:p>
            <w:pPr>
              <w:pStyle w:val="2"/>
              <w:ind w:firstLine="0" w:firstLineChars="0"/>
              <w:jc w:val="left"/>
              <w:rPr>
                <w:rFonts w:ascii="宋体" w:hAnsi="宋体"/>
                <w:color w:val="auto"/>
                <w:szCs w:val="21"/>
              </w:rPr>
            </w:pPr>
            <w:r>
              <w:rPr>
                <w:rFonts w:hint="eastAsia" w:ascii="宋体" w:hAnsi="宋体"/>
                <w:color w:val="auto"/>
                <w:szCs w:val="21"/>
              </w:rPr>
              <w:t>数据库技术财务应用</w:t>
            </w:r>
          </w:p>
          <w:p>
            <w:pPr>
              <w:pStyle w:val="2"/>
              <w:ind w:firstLine="0" w:firstLineChars="0"/>
              <w:rPr>
                <w:color w:val="auto"/>
              </w:rPr>
            </w:pPr>
            <w:r>
              <w:rPr>
                <w:rFonts w:hint="eastAsia" w:ascii="宋体" w:hAnsi="宋体" w:cs="宋体"/>
                <w:color w:val="auto"/>
              </w:rPr>
              <w:t>Python技</w:t>
            </w:r>
            <w:r>
              <w:rPr>
                <w:rFonts w:hint="eastAsia"/>
                <w:color w:val="auto"/>
              </w:rPr>
              <w:t>术财务应用</w:t>
            </w:r>
          </w:p>
          <w:p>
            <w:pPr>
              <w:tabs>
                <w:tab w:val="left" w:pos="2590"/>
              </w:tabs>
              <w:spacing w:line="0" w:lineRule="atLeast"/>
              <w:jc w:val="left"/>
              <w:rPr>
                <w:rFonts w:ascii="宋体" w:hAnsi="宋体" w:cs="宋体"/>
                <w:color w:val="auto"/>
                <w:szCs w:val="21"/>
              </w:rPr>
            </w:pPr>
            <w:r>
              <w:rPr>
                <w:rFonts w:hint="eastAsia" w:ascii="宋体" w:hAnsi="宋体" w:cs="宋体"/>
                <w:color w:val="auto"/>
                <w:szCs w:val="21"/>
              </w:rPr>
              <w:t>工程</w:t>
            </w:r>
            <w:r>
              <w:rPr>
                <w:rFonts w:ascii="宋体" w:hAnsi="宋体" w:cs="宋体"/>
                <w:color w:val="auto"/>
                <w:szCs w:val="21"/>
              </w:rPr>
              <w:t>财务管理</w:t>
            </w:r>
          </w:p>
          <w:p>
            <w:pPr>
              <w:tabs>
                <w:tab w:val="left" w:pos="2590"/>
              </w:tabs>
              <w:spacing w:line="0" w:lineRule="atLeast"/>
              <w:jc w:val="left"/>
              <w:rPr>
                <w:rFonts w:ascii="宋体" w:hAnsi="宋体"/>
                <w:color w:val="auto"/>
                <w:szCs w:val="21"/>
              </w:rPr>
            </w:pPr>
            <w:r>
              <w:rPr>
                <w:rFonts w:hint="eastAsia" w:ascii="宋体" w:hAnsi="宋体"/>
                <w:color w:val="auto"/>
                <w:szCs w:val="21"/>
              </w:rPr>
              <w:t>智能财务机器人应用</w:t>
            </w:r>
          </w:p>
          <w:p>
            <w:pPr>
              <w:tabs>
                <w:tab w:val="left" w:pos="2590"/>
              </w:tabs>
              <w:spacing w:line="0" w:lineRule="atLeast"/>
              <w:jc w:val="left"/>
              <w:rPr>
                <w:rFonts w:ascii="宋体" w:hAnsi="宋体" w:cs="宋体"/>
                <w:color w:val="auto"/>
                <w:szCs w:val="21"/>
              </w:rPr>
            </w:pPr>
            <w:r>
              <w:rPr>
                <w:rFonts w:hint="eastAsia" w:ascii="宋体" w:hAnsi="宋体"/>
                <w:color w:val="auto"/>
                <w:szCs w:val="21"/>
              </w:rPr>
              <w:t>大数据财务</w:t>
            </w:r>
            <w:r>
              <w:rPr>
                <w:rFonts w:ascii="宋体" w:hAnsi="宋体"/>
                <w:color w:val="auto"/>
                <w:szCs w:val="21"/>
              </w:rPr>
              <w:t>分析</w:t>
            </w:r>
          </w:p>
          <w:p>
            <w:pPr>
              <w:tabs>
                <w:tab w:val="left" w:pos="2590"/>
              </w:tabs>
              <w:spacing w:line="0" w:lineRule="atLeast"/>
              <w:jc w:val="left"/>
              <w:rPr>
                <w:rFonts w:ascii="宋体" w:hAnsi="宋体" w:cs="宋体"/>
                <w:color w:val="auto"/>
                <w:szCs w:val="21"/>
              </w:rPr>
            </w:pPr>
            <w:r>
              <w:rPr>
                <w:rFonts w:hint="eastAsia" w:ascii="宋体" w:hAnsi="宋体" w:cs="宋体"/>
                <w:color w:val="auto"/>
                <w:szCs w:val="21"/>
              </w:rPr>
              <w:t>管理</w:t>
            </w:r>
            <w:r>
              <w:rPr>
                <w:rFonts w:ascii="宋体" w:hAnsi="宋体" w:cs="宋体"/>
                <w:color w:val="auto"/>
                <w:szCs w:val="21"/>
              </w:rPr>
              <w:t>会计</w:t>
            </w:r>
          </w:p>
          <w:p>
            <w:pPr>
              <w:tabs>
                <w:tab w:val="left" w:pos="2590"/>
              </w:tabs>
              <w:spacing w:line="0" w:lineRule="atLeast"/>
              <w:jc w:val="left"/>
              <w:rPr>
                <w:rFonts w:ascii="宋体" w:hAnsi="宋体" w:cs="宋体"/>
                <w:color w:val="auto"/>
                <w:szCs w:val="21"/>
              </w:rPr>
            </w:pPr>
            <w:r>
              <w:rPr>
                <w:rFonts w:hint="eastAsia" w:ascii="宋体" w:hAnsi="宋体" w:cs="宋体"/>
                <w:color w:val="auto"/>
                <w:szCs w:val="21"/>
              </w:rPr>
              <w:t>资产评估</w:t>
            </w:r>
            <w:r>
              <w:rPr>
                <w:rFonts w:ascii="宋体" w:hAnsi="宋体" w:cs="宋体"/>
                <w:color w:val="auto"/>
                <w:szCs w:val="21"/>
              </w:rPr>
              <w:t>实务</w:t>
            </w:r>
          </w:p>
          <w:p>
            <w:pPr>
              <w:tabs>
                <w:tab w:val="left" w:pos="2590"/>
              </w:tabs>
              <w:spacing w:line="0" w:lineRule="atLeast"/>
              <w:jc w:val="left"/>
              <w:rPr>
                <w:rFonts w:ascii="宋体" w:hAnsi="宋体" w:cs="宋体"/>
                <w:color w:val="auto"/>
                <w:szCs w:val="21"/>
              </w:rPr>
            </w:pPr>
            <w:r>
              <w:rPr>
                <w:rFonts w:hint="eastAsia" w:ascii="宋体" w:hAnsi="宋体" w:cs="宋体"/>
                <w:color w:val="auto"/>
                <w:szCs w:val="21"/>
              </w:rPr>
              <w:t>工程项目</w:t>
            </w:r>
            <w:r>
              <w:rPr>
                <w:rFonts w:ascii="宋体" w:hAnsi="宋体" w:cs="宋体"/>
                <w:color w:val="auto"/>
                <w:szCs w:val="21"/>
              </w:rPr>
              <w:t>审计</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工程造价控制与管理</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财务共享应用</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企业</w:t>
            </w:r>
            <w:r>
              <w:rPr>
                <w:rFonts w:ascii="宋体" w:hAnsi="宋体" w:cs="宋体"/>
                <w:iCs/>
                <w:color w:val="auto"/>
                <w:szCs w:val="21"/>
              </w:rPr>
              <w:t>战略管理</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工程</w:t>
            </w:r>
            <w:r>
              <w:rPr>
                <w:rFonts w:ascii="宋体" w:hAnsi="宋体" w:cs="宋体"/>
                <w:iCs/>
                <w:color w:val="auto"/>
                <w:szCs w:val="21"/>
              </w:rPr>
              <w:t>招投标与合同管理</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财务</w:t>
            </w:r>
            <w:r>
              <w:rPr>
                <w:rFonts w:ascii="宋体" w:hAnsi="宋体" w:cs="宋体"/>
                <w:iCs/>
                <w:color w:val="auto"/>
                <w:szCs w:val="21"/>
              </w:rPr>
              <w:t>管理实训</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管理</w:t>
            </w:r>
            <w:r>
              <w:rPr>
                <w:rFonts w:ascii="宋体" w:hAnsi="宋体" w:cs="宋体"/>
                <w:iCs/>
                <w:color w:val="auto"/>
                <w:szCs w:val="21"/>
              </w:rPr>
              <w:t>会计实训</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建筑经营</w:t>
            </w:r>
            <w:r>
              <w:rPr>
                <w:rFonts w:ascii="宋体" w:hAnsi="宋体" w:cs="宋体"/>
                <w:iCs/>
                <w:color w:val="auto"/>
                <w:szCs w:val="21"/>
              </w:rPr>
              <w:t>管理综合实训</w:t>
            </w:r>
          </w:p>
          <w:p>
            <w:pPr>
              <w:tabs>
                <w:tab w:val="left" w:pos="2590"/>
              </w:tabs>
              <w:spacing w:line="0" w:lineRule="atLeast"/>
              <w:jc w:val="left"/>
              <w:rPr>
                <w:rFonts w:ascii="宋体" w:hAnsi="宋体" w:cs="宋体"/>
                <w:iCs/>
                <w:color w:val="auto"/>
                <w:szCs w:val="21"/>
              </w:rPr>
            </w:pPr>
            <w:r>
              <w:rPr>
                <w:rFonts w:hint="eastAsia" w:ascii="宋体" w:hAnsi="宋体" w:cs="宋体"/>
                <w:iCs/>
                <w:color w:val="auto"/>
                <w:szCs w:val="21"/>
              </w:rPr>
              <w:t>企业</w:t>
            </w:r>
            <w:r>
              <w:rPr>
                <w:rFonts w:ascii="宋体" w:hAnsi="宋体" w:cs="宋体"/>
                <w:iCs/>
                <w:color w:val="auto"/>
                <w:szCs w:val="21"/>
              </w:rPr>
              <w:t>经营管理沙盘实训</w:t>
            </w:r>
          </w:p>
          <w:p>
            <w:pPr>
              <w:tabs>
                <w:tab w:val="left" w:pos="2590"/>
              </w:tabs>
              <w:spacing w:line="0" w:lineRule="atLeast"/>
              <w:jc w:val="left"/>
              <w:rPr>
                <w:rFonts w:ascii="宋体" w:hAnsi="宋体"/>
                <w:color w:val="auto"/>
                <w:szCs w:val="21"/>
              </w:rPr>
            </w:pPr>
            <w:r>
              <w:rPr>
                <w:rFonts w:hint="eastAsia" w:ascii="宋体" w:hAnsi="宋体"/>
                <w:color w:val="auto"/>
                <w:szCs w:val="21"/>
              </w:rPr>
              <w:t>企业</w:t>
            </w:r>
            <w:r>
              <w:rPr>
                <w:rFonts w:ascii="宋体" w:hAnsi="宋体"/>
                <w:color w:val="auto"/>
                <w:szCs w:val="21"/>
              </w:rPr>
              <w:t>实践</w:t>
            </w:r>
          </w:p>
          <w:p>
            <w:pPr>
              <w:tabs>
                <w:tab w:val="left" w:pos="2590"/>
              </w:tabs>
              <w:spacing w:line="0" w:lineRule="atLeast"/>
              <w:jc w:val="left"/>
              <w:rPr>
                <w:rFonts w:ascii="宋体" w:hAnsi="宋体"/>
                <w:color w:val="auto"/>
                <w:szCs w:val="21"/>
              </w:rPr>
            </w:pPr>
            <w:r>
              <w:rPr>
                <w:rFonts w:hint="eastAsia" w:ascii="宋体" w:hAnsi="宋体"/>
                <w:color w:val="auto"/>
                <w:szCs w:val="21"/>
              </w:rPr>
              <w:t>职业基本素养</w:t>
            </w:r>
          </w:p>
          <w:p>
            <w:pPr>
              <w:tabs>
                <w:tab w:val="left" w:pos="2590"/>
              </w:tabs>
              <w:spacing w:line="0" w:lineRule="atLeast"/>
              <w:jc w:val="left"/>
              <w:rPr>
                <w:rFonts w:ascii="宋体" w:hAnsi="宋体"/>
                <w:color w:val="auto"/>
                <w:szCs w:val="21"/>
              </w:rPr>
            </w:pPr>
            <w:r>
              <w:rPr>
                <w:rFonts w:hint="eastAsia" w:ascii="宋体" w:hAnsi="宋体"/>
                <w:color w:val="auto"/>
                <w:szCs w:val="21"/>
              </w:rPr>
              <w:t>最新财税政策解读</w:t>
            </w:r>
          </w:p>
          <w:p>
            <w:pPr>
              <w:tabs>
                <w:tab w:val="left" w:pos="2590"/>
              </w:tabs>
              <w:spacing w:line="0" w:lineRule="atLeast"/>
              <w:jc w:val="left"/>
              <w:rPr>
                <w:rFonts w:ascii="宋体" w:hAnsi="宋体"/>
                <w:color w:val="auto"/>
                <w:szCs w:val="21"/>
              </w:rPr>
            </w:pPr>
            <w:r>
              <w:rPr>
                <w:rFonts w:hint="eastAsia" w:ascii="宋体" w:hAnsi="宋体"/>
                <w:color w:val="auto"/>
                <w:szCs w:val="21"/>
              </w:rPr>
              <w:t>毕业设计</w:t>
            </w:r>
          </w:p>
          <w:p>
            <w:pPr>
              <w:tabs>
                <w:tab w:val="left" w:pos="2590"/>
              </w:tabs>
              <w:spacing w:line="0" w:lineRule="atLeast"/>
              <w:jc w:val="left"/>
              <w:rPr>
                <w:rFonts w:ascii="宋体" w:hAnsi="宋体"/>
                <w:color w:val="auto"/>
                <w:szCs w:val="21"/>
              </w:rPr>
            </w:pPr>
            <w:r>
              <w:rPr>
                <w:rFonts w:hint="eastAsia" w:ascii="宋体" w:hAnsi="宋体"/>
                <w:color w:val="auto"/>
                <w:szCs w:val="21"/>
              </w:rPr>
              <w:t>顶岗实习</w:t>
            </w:r>
          </w:p>
          <w:p>
            <w:pPr>
              <w:tabs>
                <w:tab w:val="left" w:pos="2590"/>
              </w:tabs>
              <w:spacing w:line="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470" w:type="dxa"/>
            <w:vMerge w:val="continue"/>
            <w:vAlign w:val="center"/>
          </w:tcPr>
          <w:p>
            <w:pPr>
              <w:tabs>
                <w:tab w:val="left" w:pos="2590"/>
              </w:tabs>
              <w:spacing w:line="240" w:lineRule="atLeast"/>
              <w:jc w:val="center"/>
              <w:rPr>
                <w:rFonts w:ascii="宋体" w:hAnsi="宋体"/>
                <w:color w:val="auto"/>
                <w:szCs w:val="21"/>
              </w:rPr>
            </w:pPr>
          </w:p>
        </w:tc>
        <w:tc>
          <w:tcPr>
            <w:tcW w:w="862" w:type="dxa"/>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投资</w:t>
            </w:r>
            <w:r>
              <w:rPr>
                <w:rFonts w:ascii="宋体" w:hAnsi="宋体"/>
                <w:color w:val="auto"/>
                <w:szCs w:val="21"/>
              </w:rPr>
              <w:t>项目决策</w:t>
            </w:r>
          </w:p>
        </w:tc>
        <w:tc>
          <w:tcPr>
            <w:tcW w:w="1452" w:type="dxa"/>
            <w:vAlign w:val="center"/>
          </w:tcPr>
          <w:p>
            <w:pPr>
              <w:tabs>
                <w:tab w:val="left" w:pos="2590"/>
              </w:tabs>
              <w:spacing w:line="240" w:lineRule="atLeast"/>
              <w:rPr>
                <w:rFonts w:ascii="宋体" w:hAnsi="宋体" w:cs="宋体"/>
                <w:color w:val="auto"/>
                <w:szCs w:val="21"/>
                <w:shd w:val="clear" w:color="auto" w:fill="FFFFFF"/>
              </w:rPr>
            </w:pPr>
            <w:r>
              <w:rPr>
                <w:rFonts w:hint="eastAsia" w:ascii="宋体" w:hAnsi="宋体" w:cs="宋体"/>
                <w:color w:val="auto"/>
                <w:szCs w:val="21"/>
                <w:shd w:val="clear" w:color="auto" w:fill="FFFFFF"/>
              </w:rPr>
              <w:t>熟悉</w:t>
            </w:r>
            <w:r>
              <w:rPr>
                <w:rFonts w:ascii="宋体" w:hAnsi="宋体" w:cs="宋体"/>
                <w:color w:val="auto"/>
                <w:szCs w:val="21"/>
                <w:shd w:val="clear" w:color="auto" w:fill="FFFFFF"/>
              </w:rPr>
              <w:t>投资项目决策的基础理论，掌握建筑</w:t>
            </w:r>
            <w:r>
              <w:rPr>
                <w:rFonts w:hint="eastAsia" w:ascii="宋体" w:hAnsi="宋体" w:cs="宋体"/>
                <w:color w:val="auto"/>
                <w:szCs w:val="21"/>
                <w:shd w:val="clear" w:color="auto" w:fill="FFFFFF"/>
              </w:rPr>
              <w:t>投资</w:t>
            </w:r>
            <w:r>
              <w:rPr>
                <w:rFonts w:ascii="宋体" w:hAnsi="宋体" w:cs="宋体"/>
                <w:color w:val="auto"/>
                <w:szCs w:val="21"/>
                <w:shd w:val="clear" w:color="auto" w:fill="FFFFFF"/>
              </w:rPr>
              <w:t>项目决策的一般方法和影响因素。</w:t>
            </w:r>
          </w:p>
        </w:tc>
        <w:tc>
          <w:tcPr>
            <w:tcW w:w="2040" w:type="dxa"/>
            <w:vAlign w:val="center"/>
          </w:tcPr>
          <w:p>
            <w:pPr>
              <w:tabs>
                <w:tab w:val="left" w:pos="2590"/>
              </w:tabs>
              <w:spacing w:line="240" w:lineRule="atLeast"/>
              <w:rPr>
                <w:color w:val="auto"/>
              </w:rPr>
            </w:pPr>
            <w:r>
              <w:rPr>
                <w:rFonts w:hint="eastAsia"/>
                <w:color w:val="auto"/>
              </w:rPr>
              <w:t>会编制</w:t>
            </w:r>
            <w:r>
              <w:rPr>
                <w:color w:val="auto"/>
              </w:rPr>
              <w:t>投资方案，</w:t>
            </w:r>
            <w:r>
              <w:rPr>
                <w:rFonts w:hint="eastAsia"/>
                <w:color w:val="auto"/>
              </w:rPr>
              <w:t>对</w:t>
            </w:r>
            <w:r>
              <w:rPr>
                <w:color w:val="auto"/>
              </w:rPr>
              <w:t>投资项目进行可行性分析。</w:t>
            </w:r>
          </w:p>
        </w:tc>
        <w:tc>
          <w:tcPr>
            <w:tcW w:w="1576" w:type="dxa"/>
            <w:vAlign w:val="center"/>
          </w:tcPr>
          <w:p>
            <w:pPr>
              <w:spacing w:line="240" w:lineRule="atLeast"/>
              <w:rPr>
                <w:color w:val="auto"/>
              </w:rPr>
            </w:pPr>
            <w:r>
              <w:rPr>
                <w:rFonts w:hint="eastAsia" w:ascii="宋体" w:hAnsi="宋体"/>
                <w:color w:val="auto"/>
                <w:szCs w:val="21"/>
              </w:rPr>
              <w:t>风险</w:t>
            </w:r>
            <w:r>
              <w:rPr>
                <w:rFonts w:ascii="宋体" w:hAnsi="宋体"/>
                <w:color w:val="auto"/>
                <w:szCs w:val="21"/>
              </w:rPr>
              <w:t>、成本意识，</w:t>
            </w:r>
            <w:r>
              <w:rPr>
                <w:rFonts w:hint="eastAsia" w:ascii="宋体" w:hAnsi="宋体"/>
                <w:color w:val="auto"/>
                <w:szCs w:val="21"/>
              </w:rPr>
              <w:t>较高</w:t>
            </w:r>
            <w:r>
              <w:rPr>
                <w:rFonts w:ascii="宋体" w:hAnsi="宋体"/>
                <w:color w:val="auto"/>
                <w:szCs w:val="21"/>
              </w:rPr>
              <w:t>的认识水平</w:t>
            </w:r>
            <w:r>
              <w:rPr>
                <w:rFonts w:hint="eastAsia" w:ascii="宋体" w:hAnsi="宋体"/>
                <w:color w:val="auto"/>
                <w:szCs w:val="21"/>
              </w:rPr>
              <w:t>，</w:t>
            </w:r>
            <w:r>
              <w:rPr>
                <w:rFonts w:ascii="宋体" w:hAnsi="宋体"/>
                <w:color w:val="auto"/>
                <w:szCs w:val="21"/>
              </w:rPr>
              <w:t>良好的表达能力</w:t>
            </w:r>
            <w:r>
              <w:rPr>
                <w:rFonts w:hint="eastAsia" w:ascii="宋体" w:hAnsi="宋体"/>
                <w:color w:val="auto"/>
                <w:szCs w:val="21"/>
              </w:rPr>
              <w:t>和</w:t>
            </w:r>
            <w:r>
              <w:rPr>
                <w:rFonts w:ascii="宋体" w:hAnsi="宋体"/>
                <w:color w:val="auto"/>
                <w:szCs w:val="21"/>
              </w:rPr>
              <w:t>科学决策能力。</w:t>
            </w:r>
          </w:p>
        </w:tc>
        <w:tc>
          <w:tcPr>
            <w:tcW w:w="2534" w:type="dxa"/>
            <w:vMerge w:val="continue"/>
            <w:vAlign w:val="center"/>
          </w:tcPr>
          <w:p>
            <w:pPr>
              <w:tabs>
                <w:tab w:val="left" w:pos="2590"/>
              </w:tabs>
              <w:spacing w:line="0" w:lineRule="atLeas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470" w:type="dxa"/>
            <w:vMerge w:val="continue"/>
            <w:vAlign w:val="center"/>
          </w:tcPr>
          <w:p>
            <w:pPr>
              <w:tabs>
                <w:tab w:val="left" w:pos="2590"/>
              </w:tabs>
              <w:spacing w:line="240" w:lineRule="atLeast"/>
              <w:jc w:val="center"/>
              <w:rPr>
                <w:rFonts w:ascii="宋体" w:hAnsi="宋体"/>
                <w:color w:val="auto"/>
                <w:szCs w:val="21"/>
              </w:rPr>
            </w:pPr>
          </w:p>
        </w:tc>
        <w:tc>
          <w:tcPr>
            <w:tcW w:w="862" w:type="dxa"/>
            <w:vAlign w:val="center"/>
          </w:tcPr>
          <w:p>
            <w:pPr>
              <w:tabs>
                <w:tab w:val="left" w:pos="2590"/>
              </w:tabs>
              <w:spacing w:line="240" w:lineRule="atLeast"/>
              <w:jc w:val="center"/>
              <w:rPr>
                <w:rFonts w:ascii="宋体" w:hAnsi="宋体"/>
                <w:color w:val="auto"/>
                <w:szCs w:val="21"/>
              </w:rPr>
            </w:pPr>
            <w:r>
              <w:rPr>
                <w:rFonts w:hint="eastAsia" w:ascii="宋体" w:hAnsi="宋体"/>
                <w:color w:val="auto"/>
                <w:szCs w:val="21"/>
              </w:rPr>
              <w:t>企业战略</w:t>
            </w:r>
            <w:r>
              <w:rPr>
                <w:rFonts w:ascii="宋体" w:hAnsi="宋体"/>
                <w:color w:val="auto"/>
                <w:szCs w:val="21"/>
              </w:rPr>
              <w:t>管理</w:t>
            </w:r>
          </w:p>
        </w:tc>
        <w:tc>
          <w:tcPr>
            <w:tcW w:w="1452" w:type="dxa"/>
            <w:vAlign w:val="center"/>
          </w:tcPr>
          <w:p>
            <w:pPr>
              <w:tabs>
                <w:tab w:val="left" w:pos="2590"/>
              </w:tabs>
              <w:spacing w:line="240" w:lineRule="atLeast"/>
              <w:rPr>
                <w:rFonts w:ascii="宋体" w:hAnsi="宋体" w:cs="宋体"/>
                <w:color w:val="auto"/>
                <w:szCs w:val="21"/>
                <w:shd w:val="clear" w:color="auto" w:fill="FFFFFF"/>
              </w:rPr>
            </w:pPr>
            <w:r>
              <w:rPr>
                <w:rFonts w:hint="eastAsia" w:ascii="宋体" w:hAnsi="宋体" w:cs="宋体"/>
                <w:color w:val="auto"/>
                <w:szCs w:val="21"/>
                <w:shd w:val="clear" w:color="auto" w:fill="FFFFFF"/>
              </w:rPr>
              <w:t>掌握</w:t>
            </w:r>
            <w:r>
              <w:rPr>
                <w:rFonts w:ascii="宋体" w:hAnsi="宋体" w:cs="宋体"/>
                <w:color w:val="auto"/>
                <w:szCs w:val="21"/>
                <w:shd w:val="clear" w:color="auto" w:fill="FFFFFF"/>
              </w:rPr>
              <w:t>管理会计</w:t>
            </w:r>
            <w:r>
              <w:rPr>
                <w:rFonts w:hint="eastAsia" w:ascii="宋体" w:hAnsi="宋体" w:cs="宋体"/>
                <w:color w:val="auto"/>
                <w:szCs w:val="21"/>
                <w:shd w:val="clear" w:color="auto" w:fill="FFFFFF"/>
              </w:rPr>
              <w:t>、</w:t>
            </w:r>
            <w:r>
              <w:rPr>
                <w:rFonts w:ascii="宋体" w:hAnsi="宋体" w:cs="宋体"/>
                <w:color w:val="auto"/>
                <w:szCs w:val="21"/>
                <w:shd w:val="clear" w:color="auto" w:fill="FFFFFF"/>
              </w:rPr>
              <w:t>企业战略管理的基本理论、方法和技术。</w:t>
            </w:r>
          </w:p>
        </w:tc>
        <w:tc>
          <w:tcPr>
            <w:tcW w:w="2040" w:type="dxa"/>
            <w:vAlign w:val="center"/>
          </w:tcPr>
          <w:p>
            <w:pPr>
              <w:tabs>
                <w:tab w:val="left" w:pos="2590"/>
              </w:tabs>
              <w:spacing w:line="240" w:lineRule="atLeast"/>
              <w:rPr>
                <w:color w:val="auto"/>
              </w:rPr>
            </w:pPr>
            <w:r>
              <w:rPr>
                <w:color w:val="auto"/>
              </w:rPr>
              <w:t>具备利用经济信息进行预测、决策，对经营业务进行控制、分析评价的能力</w:t>
            </w:r>
            <w:r>
              <w:rPr>
                <w:rFonts w:hint="eastAsia"/>
                <w:color w:val="auto"/>
              </w:rPr>
              <w:t>，具有解决建筑企业核心问题、提高经济效益的能力。</w:t>
            </w:r>
          </w:p>
        </w:tc>
        <w:tc>
          <w:tcPr>
            <w:tcW w:w="1576" w:type="dxa"/>
            <w:vAlign w:val="center"/>
          </w:tcPr>
          <w:p>
            <w:pPr>
              <w:spacing w:line="240" w:lineRule="atLeast"/>
              <w:rPr>
                <w:rFonts w:ascii="宋体" w:hAnsi="Arial"/>
                <w:color w:val="auto"/>
                <w:szCs w:val="21"/>
              </w:rPr>
            </w:pPr>
            <w:r>
              <w:rPr>
                <w:rFonts w:hint="eastAsia" w:ascii="宋体" w:hAnsi="宋体"/>
                <w:color w:val="auto"/>
                <w:szCs w:val="21"/>
              </w:rPr>
              <w:t>全局意识和</w:t>
            </w:r>
            <w:r>
              <w:rPr>
                <w:rFonts w:ascii="宋体" w:hAnsi="宋体"/>
                <w:color w:val="auto"/>
                <w:szCs w:val="21"/>
              </w:rPr>
              <w:t>服务意识</w:t>
            </w:r>
            <w:r>
              <w:rPr>
                <w:rFonts w:hint="eastAsia" w:ascii="宋体" w:hAnsi="宋体"/>
                <w:color w:val="auto"/>
                <w:szCs w:val="21"/>
              </w:rPr>
              <w:t>，较强</w:t>
            </w:r>
            <w:r>
              <w:rPr>
                <w:rFonts w:ascii="宋体" w:hAnsi="宋体"/>
                <w:color w:val="auto"/>
                <w:szCs w:val="21"/>
              </w:rPr>
              <w:t>的</w:t>
            </w:r>
            <w:r>
              <w:rPr>
                <w:rFonts w:hint="eastAsia" w:ascii="宋体" w:hAnsi="宋体"/>
                <w:color w:val="auto"/>
                <w:szCs w:val="21"/>
              </w:rPr>
              <w:t>执行力、</w:t>
            </w:r>
            <w:r>
              <w:rPr>
                <w:rFonts w:ascii="宋体" w:hAnsi="宋体"/>
                <w:color w:val="auto"/>
                <w:szCs w:val="21"/>
              </w:rPr>
              <w:t>领导力</w:t>
            </w:r>
            <w:r>
              <w:rPr>
                <w:rFonts w:hint="eastAsia" w:ascii="宋体" w:hAnsi="宋体"/>
                <w:color w:val="auto"/>
                <w:szCs w:val="21"/>
              </w:rPr>
              <w:t>、</w:t>
            </w:r>
            <w:r>
              <w:rPr>
                <w:rFonts w:ascii="宋体" w:hAnsi="宋体"/>
                <w:color w:val="auto"/>
                <w:szCs w:val="21"/>
              </w:rPr>
              <w:t>沟通能力和管理能力</w:t>
            </w:r>
            <w:r>
              <w:rPr>
                <w:rFonts w:hint="eastAsia" w:ascii="宋体" w:hAnsi="宋体"/>
                <w:color w:val="auto"/>
                <w:szCs w:val="21"/>
              </w:rPr>
              <w:t>。</w:t>
            </w:r>
          </w:p>
        </w:tc>
        <w:tc>
          <w:tcPr>
            <w:tcW w:w="2534" w:type="dxa"/>
            <w:vMerge w:val="continue"/>
            <w:vAlign w:val="center"/>
          </w:tcPr>
          <w:p>
            <w:pPr>
              <w:tabs>
                <w:tab w:val="left" w:pos="2590"/>
              </w:tabs>
              <w:spacing w:line="0" w:lineRule="atLeast"/>
              <w:jc w:val="center"/>
              <w:rPr>
                <w:rFonts w:ascii="宋体" w:hAnsi="宋体" w:cs="宋体"/>
                <w:color w:val="auto"/>
                <w:szCs w:val="21"/>
              </w:rPr>
            </w:pPr>
          </w:p>
        </w:tc>
      </w:tr>
    </w:tbl>
    <w:p>
      <w:pPr>
        <w:rPr>
          <w:color w:val="auto"/>
        </w:rPr>
      </w:pP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六、课程设置与要求</w:t>
      </w:r>
    </w:p>
    <w:p>
      <w:pPr>
        <w:pStyle w:val="7"/>
        <w:adjustRightInd w:val="0"/>
        <w:snapToGrid w:val="0"/>
        <w:spacing w:before="0" w:beforeAutospacing="0" w:after="0" w:afterAutospacing="0" w:line="500" w:lineRule="exact"/>
        <w:ind w:firstLine="480" w:firstLineChars="200"/>
        <w:jc w:val="both"/>
        <w:rPr>
          <w:color w:val="auto"/>
          <w:kern w:val="2"/>
        </w:rPr>
      </w:pPr>
      <w:r>
        <w:rPr>
          <w:color w:val="auto"/>
          <w:kern w:val="2"/>
        </w:rPr>
        <w:t>1.</w:t>
      </w:r>
      <w:r>
        <w:rPr>
          <w:rFonts w:hint="eastAsia"/>
          <w:color w:val="auto"/>
          <w:kern w:val="2"/>
        </w:rPr>
        <w:t>公共基础</w:t>
      </w:r>
      <w:r>
        <w:rPr>
          <w:color w:val="auto"/>
          <w:kern w:val="2"/>
        </w:rPr>
        <w:t>课程</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公共基础</w:t>
      </w:r>
      <w:r>
        <w:rPr>
          <w:color w:val="auto"/>
          <w:kern w:val="2"/>
        </w:rPr>
        <w:t>课程</w:t>
      </w:r>
      <w:r>
        <w:rPr>
          <w:rFonts w:hint="eastAsia"/>
          <w:color w:val="auto"/>
          <w:kern w:val="2"/>
        </w:rPr>
        <w:t>包</w:t>
      </w:r>
      <w:r>
        <w:rPr>
          <w:color w:val="auto"/>
          <w:kern w:val="2"/>
        </w:rPr>
        <w:t>括必修课</w:t>
      </w:r>
      <w:r>
        <w:rPr>
          <w:rFonts w:hint="eastAsia"/>
          <w:color w:val="auto"/>
          <w:kern w:val="2"/>
        </w:rPr>
        <w:t>、</w:t>
      </w:r>
      <w:r>
        <w:rPr>
          <w:color w:val="auto"/>
          <w:kern w:val="2"/>
        </w:rPr>
        <w:t>限选课与任选</w:t>
      </w:r>
      <w:r>
        <w:rPr>
          <w:rFonts w:hint="eastAsia"/>
          <w:color w:val="auto"/>
          <w:kern w:val="2"/>
        </w:rPr>
        <w:t>课（</w:t>
      </w:r>
      <w:r>
        <w:rPr>
          <w:color w:val="auto"/>
          <w:kern w:val="2"/>
        </w:rPr>
        <w:t>全院性公共</w:t>
      </w:r>
      <w:r>
        <w:rPr>
          <w:rFonts w:hint="eastAsia"/>
          <w:color w:val="auto"/>
          <w:kern w:val="2"/>
        </w:rPr>
        <w:t>选修</w:t>
      </w:r>
      <w:r>
        <w:rPr>
          <w:color w:val="auto"/>
          <w:kern w:val="2"/>
        </w:rPr>
        <w:t>课）</w:t>
      </w:r>
      <w:r>
        <w:rPr>
          <w:rFonts w:hint="eastAsia"/>
          <w:color w:val="auto"/>
          <w:kern w:val="2"/>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公共基础必修课包括：思想道德与法治、毛泽东思想和中国特色社会主义理论体系概论、体育（Ⅰ）（Ⅱ）（Ⅲ）、军事理论、军事技能、形势与政策、大学生职业发展与就业指导、大学生心理健康教育、劳动教育、国家安全教育。</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公共基础限选课包括：</w:t>
      </w:r>
      <w:r>
        <w:rPr>
          <w:rFonts w:hint="eastAsia"/>
          <w:color w:val="auto"/>
          <w:szCs w:val="21"/>
        </w:rPr>
        <w:t>高职英语A</w:t>
      </w:r>
      <w:r>
        <w:rPr>
          <w:rFonts w:hint="eastAsia"/>
          <w:color w:val="auto"/>
          <w:kern w:val="2"/>
        </w:rPr>
        <w:t>、高职数学、高职计算机应用基础等课程；让每位学生积极参与并完成劳动实践、创新创业实践、社团、志愿服务及其他社会公益活动等，且至少获2个学分。公共基础任选课需修满10学分，其中创新创业类课程不少于2学分，人文美育类不低于2学分，四史教育类1学分。</w:t>
      </w:r>
    </w:p>
    <w:p>
      <w:pPr>
        <w:rPr>
          <w:rFonts w:ascii="宋体" w:hAnsi="宋体" w:cs="宋体"/>
          <w:color w:val="auto"/>
          <w:kern w:val="0"/>
          <w:sz w:val="24"/>
        </w:rPr>
      </w:pPr>
      <w:r>
        <w:rPr>
          <w:rFonts w:hint="eastAsia" w:ascii="宋体" w:hAnsi="宋体" w:cs="宋体"/>
          <w:color w:val="auto"/>
          <w:kern w:val="0"/>
          <w:sz w:val="24"/>
        </w:rPr>
        <w:br w:type="page"/>
      </w:r>
    </w:p>
    <w:p>
      <w:pPr>
        <w:widowControl/>
        <w:spacing w:line="360" w:lineRule="auto"/>
        <w:ind w:firstLine="600" w:firstLineChars="250"/>
        <w:jc w:val="center"/>
        <w:rPr>
          <w:rFonts w:ascii="宋体" w:hAnsi="宋体" w:cs="宋体"/>
          <w:color w:val="auto"/>
          <w:kern w:val="0"/>
          <w:sz w:val="24"/>
        </w:rPr>
      </w:pPr>
      <w:r>
        <w:rPr>
          <w:rFonts w:hint="eastAsia" w:ascii="宋体" w:hAnsi="宋体" w:cs="宋体"/>
          <w:color w:val="auto"/>
          <w:kern w:val="0"/>
          <w:sz w:val="24"/>
        </w:rPr>
        <w:t>表4  公共</w:t>
      </w:r>
      <w:r>
        <w:rPr>
          <w:rFonts w:ascii="宋体" w:hAnsi="宋体" w:cs="宋体"/>
          <w:color w:val="auto"/>
          <w:kern w:val="0"/>
          <w:sz w:val="24"/>
        </w:rPr>
        <w:t>基础课</w:t>
      </w:r>
      <w:r>
        <w:rPr>
          <w:rFonts w:hint="eastAsia" w:ascii="宋体" w:hAnsi="宋体" w:cs="宋体"/>
          <w:color w:val="auto"/>
          <w:kern w:val="0"/>
          <w:sz w:val="24"/>
        </w:rPr>
        <w:t>教学内容与</w:t>
      </w:r>
      <w:r>
        <w:rPr>
          <w:rFonts w:ascii="宋体" w:hAnsi="宋体" w:cs="宋体"/>
          <w:color w:val="auto"/>
          <w:kern w:val="0"/>
          <w:sz w:val="24"/>
        </w:rPr>
        <w:t>要求</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78"/>
        <w:gridCol w:w="1080"/>
        <w:gridCol w:w="302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300" w:lineRule="auto"/>
              <w:jc w:val="center"/>
              <w:rPr>
                <w:rFonts w:ascii="宋体" w:hAnsi="宋体" w:cs="宋体"/>
                <w:color w:val="auto"/>
                <w:kern w:val="0"/>
                <w:sz w:val="24"/>
              </w:rPr>
            </w:pPr>
            <w:r>
              <w:rPr>
                <w:rFonts w:ascii="宋体" w:hAnsi="宋体" w:cs="宋体"/>
                <w:color w:val="auto"/>
                <w:kern w:val="0"/>
                <w:sz w:val="24"/>
              </w:rPr>
              <w:t>序号</w:t>
            </w:r>
          </w:p>
        </w:tc>
        <w:tc>
          <w:tcPr>
            <w:tcW w:w="1478" w:type="dxa"/>
            <w:vAlign w:val="center"/>
          </w:tcPr>
          <w:p>
            <w:pPr>
              <w:widowControl/>
              <w:spacing w:line="300" w:lineRule="auto"/>
              <w:jc w:val="center"/>
              <w:rPr>
                <w:rFonts w:ascii="宋体" w:hAnsi="宋体" w:cs="宋体"/>
                <w:color w:val="auto"/>
                <w:kern w:val="0"/>
                <w:sz w:val="24"/>
              </w:rPr>
            </w:pPr>
            <w:r>
              <w:rPr>
                <w:rFonts w:hint="eastAsia" w:ascii="宋体" w:hAnsi="宋体" w:cs="宋体"/>
                <w:color w:val="auto"/>
                <w:kern w:val="0"/>
                <w:sz w:val="24"/>
              </w:rPr>
              <w:t>课程名称</w:t>
            </w:r>
          </w:p>
        </w:tc>
        <w:tc>
          <w:tcPr>
            <w:tcW w:w="1080" w:type="dxa"/>
          </w:tcPr>
          <w:p>
            <w:pPr>
              <w:widowControl/>
              <w:spacing w:line="300" w:lineRule="auto"/>
              <w:jc w:val="center"/>
              <w:rPr>
                <w:rFonts w:ascii="宋体" w:hAnsi="宋体" w:cs="宋体"/>
                <w:color w:val="auto"/>
                <w:kern w:val="0"/>
                <w:sz w:val="24"/>
              </w:rPr>
            </w:pPr>
            <w:r>
              <w:rPr>
                <w:rFonts w:hint="eastAsia" w:ascii="宋体" w:hAnsi="宋体" w:cs="宋体"/>
                <w:color w:val="auto"/>
                <w:kern w:val="0"/>
                <w:sz w:val="24"/>
              </w:rPr>
              <w:t>课程</w:t>
            </w:r>
          </w:p>
          <w:p>
            <w:pPr>
              <w:widowControl/>
              <w:spacing w:line="300" w:lineRule="auto"/>
              <w:jc w:val="center"/>
              <w:rPr>
                <w:rFonts w:ascii="宋体" w:hAnsi="宋体" w:cs="宋体"/>
                <w:color w:val="auto"/>
                <w:kern w:val="0"/>
                <w:sz w:val="24"/>
              </w:rPr>
            </w:pPr>
            <w:r>
              <w:rPr>
                <w:rFonts w:ascii="宋体" w:hAnsi="宋体" w:cs="宋体"/>
                <w:color w:val="auto"/>
                <w:kern w:val="0"/>
                <w:sz w:val="24"/>
              </w:rPr>
              <w:t>类别</w:t>
            </w:r>
          </w:p>
        </w:tc>
        <w:tc>
          <w:tcPr>
            <w:tcW w:w="3027" w:type="dxa"/>
            <w:vAlign w:val="center"/>
          </w:tcPr>
          <w:p>
            <w:pPr>
              <w:widowControl/>
              <w:spacing w:line="300" w:lineRule="auto"/>
              <w:jc w:val="center"/>
              <w:rPr>
                <w:rFonts w:ascii="宋体" w:hAnsi="宋体" w:cs="宋体"/>
                <w:color w:val="auto"/>
                <w:kern w:val="0"/>
                <w:sz w:val="24"/>
              </w:rPr>
            </w:pPr>
            <w:r>
              <w:rPr>
                <w:rFonts w:ascii="宋体" w:hAnsi="宋体" w:cs="宋体"/>
                <w:color w:val="auto"/>
                <w:kern w:val="0"/>
                <w:sz w:val="24"/>
              </w:rPr>
              <w:t>主要教学内容</w:t>
            </w:r>
          </w:p>
        </w:tc>
        <w:tc>
          <w:tcPr>
            <w:tcW w:w="2983" w:type="dxa"/>
          </w:tcPr>
          <w:p>
            <w:pPr>
              <w:widowControl/>
              <w:spacing w:line="300" w:lineRule="auto"/>
              <w:jc w:val="center"/>
              <w:rPr>
                <w:rFonts w:ascii="宋体" w:hAnsi="宋体" w:cs="宋体"/>
                <w:color w:val="auto"/>
                <w:kern w:val="0"/>
                <w:sz w:val="24"/>
              </w:rPr>
            </w:pPr>
            <w:r>
              <w:rPr>
                <w:rFonts w:hint="eastAsia" w:ascii="宋体" w:hAnsi="宋体" w:cs="宋体"/>
                <w:color w:val="auto"/>
                <w:kern w:val="0"/>
                <w:sz w:val="24"/>
              </w:rPr>
              <w:t>教学</w:t>
            </w:r>
            <w:r>
              <w:rPr>
                <w:rFonts w:ascii="宋体" w:hAnsi="宋体" w:cs="宋体"/>
                <w:color w:val="auto"/>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w:t>
            </w:r>
          </w:p>
        </w:tc>
        <w:tc>
          <w:tcPr>
            <w:tcW w:w="1478" w:type="dxa"/>
            <w:vAlign w:val="center"/>
          </w:tcPr>
          <w:p>
            <w:pPr>
              <w:widowControl/>
              <w:spacing w:line="240" w:lineRule="atLeast"/>
              <w:rPr>
                <w:rFonts w:ascii="宋体" w:hAnsi="宋体" w:cs="宋体"/>
                <w:color w:val="auto"/>
                <w:kern w:val="0"/>
                <w:szCs w:val="21"/>
                <w:u w:val="double"/>
              </w:rPr>
            </w:pPr>
            <w:r>
              <w:rPr>
                <w:rFonts w:hint="eastAsia" w:ascii="宋体" w:hAnsi="宋体"/>
                <w:color w:val="auto"/>
                <w:szCs w:val="21"/>
              </w:rPr>
              <w:t>思想道德与法治</w:t>
            </w:r>
          </w:p>
        </w:tc>
        <w:tc>
          <w:tcPr>
            <w:tcW w:w="1080"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0"/>
                <w:szCs w:val="21"/>
              </w:rPr>
              <w:t>课程的教学内容主要分为“人生观教育”、“价值观教育”、 “道德观教育”及“法制观教育”四个模块，主要教育学生通过理论学习和实践体验，牢固树立坚定的理想信念和正确的价值观念,陶冶高尚的道德情操，增强尊法学法守法用法的自觉性，不断提高自身的思想道德素质和法治素养。</w:t>
            </w:r>
          </w:p>
        </w:tc>
        <w:tc>
          <w:tcPr>
            <w:tcW w:w="2983" w:type="dxa"/>
            <w:vAlign w:val="center"/>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0"/>
                <w:szCs w:val="21"/>
              </w:rPr>
              <w:t>紧紧抓住本课程严谨理论性、鲜明实践性、具体针对性的特点，按照新时代对高职学生应具备的道德和法律素质的要求，着眼于学生职业素质的提高，确立以“厚德尚能”为目标，以“三个结合”为理念，注重理论与实际相结合、感性认识和理性分析相结合的原则，着力培养学生职业素质和能力，实现高职思想政治理论课从“知性教育”向“知行合一”的行动教学转变，配合专业教育，服务学生未来的职业生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w:t>
            </w:r>
          </w:p>
        </w:tc>
        <w:tc>
          <w:tcPr>
            <w:tcW w:w="1478" w:type="dxa"/>
            <w:vAlign w:val="center"/>
          </w:tcPr>
          <w:p>
            <w:pPr>
              <w:widowControl/>
              <w:spacing w:line="240" w:lineRule="atLeast"/>
              <w:rPr>
                <w:rFonts w:ascii="宋体" w:hAnsi="宋体" w:cs="宋体"/>
                <w:color w:val="auto"/>
                <w:kern w:val="0"/>
                <w:szCs w:val="21"/>
                <w:u w:val="double"/>
              </w:rPr>
            </w:pPr>
            <w:r>
              <w:rPr>
                <w:rFonts w:hint="eastAsia" w:ascii="宋体" w:hAnsi="宋体"/>
                <w:color w:val="auto"/>
                <w:szCs w:val="21"/>
              </w:rPr>
              <w:t>毛泽东思想和中国特色社会主义理论体系概论</w:t>
            </w:r>
          </w:p>
        </w:tc>
        <w:tc>
          <w:tcPr>
            <w:tcW w:w="1080"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top"/>
          </w:tcPr>
          <w:p>
            <w:pPr>
              <w:rPr>
                <w:rFonts w:ascii="宋体" w:hAnsi="宋体" w:cs="宋体"/>
                <w:color w:val="auto"/>
                <w:kern w:val="0"/>
                <w:szCs w:val="21"/>
                <w:u w:val="double"/>
              </w:rPr>
            </w:pPr>
            <w:r>
              <w:rPr>
                <w:rFonts w:hint="eastAsia" w:ascii="宋体" w:hAnsi="宋体" w:eastAsia="宋体"/>
                <w:color w:val="auto"/>
              </w:rPr>
              <w:t>本课程是以中国化的马克思主义为主题，以马克思主义中国化为主线，以中国特色社会主义为重点，着重讲授中国共产党将马克思主义基本原理与中国实际相结合的历史进程，以及马克思主义中国化的重大理论成果，包括毛泽东思想、邓小平理论、“三个代表”重要思想、科学发展观等相关内容，阐述中国共产党在将马克思主义与中国实际相结合的历史进程中，探索适合中国国情的新民主主义革命道路、社会主义建设和改革的道路，以及中国共产党在各个历史时期形成的基本理论、基本路线和基本方略。</w:t>
            </w:r>
          </w:p>
        </w:tc>
        <w:tc>
          <w:tcPr>
            <w:tcW w:w="2983" w:type="dxa"/>
            <w:vAlign w:val="top"/>
          </w:tcPr>
          <w:p>
            <w:pPr>
              <w:rPr>
                <w:rFonts w:ascii="宋体" w:hAnsi="宋体" w:cs="宋体"/>
                <w:color w:val="auto"/>
                <w:kern w:val="0"/>
                <w:szCs w:val="21"/>
                <w:u w:val="double"/>
              </w:rPr>
            </w:pPr>
            <w:r>
              <w:rPr>
                <w:rFonts w:hint="eastAsia" w:ascii="宋体" w:hAnsi="宋体" w:eastAsia="宋体" w:cs="Helvetica"/>
                <w:color w:val="auto"/>
                <w:szCs w:val="21"/>
                <w:shd w:val="clear" w:color="auto" w:fill="FFFFFF"/>
              </w:rPr>
              <w:t>教学过程中要求</w:t>
            </w:r>
            <w:r>
              <w:rPr>
                <w:rFonts w:ascii="宋体" w:hAnsi="宋体" w:eastAsia="宋体" w:cs="Helvetica"/>
                <w:color w:val="auto"/>
                <w:szCs w:val="21"/>
                <w:shd w:val="clear" w:color="auto" w:fill="FFFFFF"/>
              </w:rPr>
              <w:t>对学生进行系统的马克思主义中国化理论教育，帮助学生系统掌握毛泽东思想</w:t>
            </w:r>
            <w:r>
              <w:rPr>
                <w:rFonts w:hint="eastAsia" w:ascii="宋体" w:hAnsi="宋体" w:eastAsia="宋体" w:cs="Helvetica"/>
                <w:color w:val="auto"/>
                <w:szCs w:val="21"/>
                <w:shd w:val="clear" w:color="auto" w:fill="FFFFFF"/>
              </w:rPr>
              <w:t>、邓小平理论、“三个代表”重要思想、科学发展观</w:t>
            </w:r>
            <w:r>
              <w:rPr>
                <w:rFonts w:ascii="宋体" w:hAnsi="宋体" w:eastAsia="宋体" w:cs="Helvetica"/>
                <w:color w:val="auto"/>
                <w:szCs w:val="21"/>
                <w:shd w:val="clear" w:color="auto" w:fill="FFFFFF"/>
              </w:rPr>
              <w:t>的基本原理，正确认识我国</w:t>
            </w:r>
            <w:r>
              <w:rPr>
                <w:rFonts w:hint="eastAsia" w:ascii="宋体" w:hAnsi="宋体" w:eastAsia="宋体" w:cs="Helvetica"/>
                <w:color w:val="auto"/>
                <w:szCs w:val="21"/>
                <w:shd w:val="clear" w:color="auto" w:fill="FFFFFF"/>
              </w:rPr>
              <w:t>新民主主义革命时期的国情、主要矛盾，</w:t>
            </w:r>
            <w:r>
              <w:rPr>
                <w:rFonts w:ascii="宋体" w:hAnsi="宋体" w:eastAsia="宋体" w:cs="Helvetica"/>
                <w:color w:val="auto"/>
                <w:szCs w:val="21"/>
                <w:shd w:val="clear" w:color="auto" w:fill="FFFFFF"/>
              </w:rPr>
              <w:t>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的自觉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w:t>
            </w:r>
          </w:p>
        </w:tc>
        <w:tc>
          <w:tcPr>
            <w:tcW w:w="1478" w:type="dxa"/>
            <w:vAlign w:val="center"/>
          </w:tcPr>
          <w:p>
            <w:pPr>
              <w:widowControl/>
              <w:spacing w:line="240" w:lineRule="atLeast"/>
              <w:rPr>
                <w:rFonts w:ascii="宋体" w:hAnsi="宋体" w:cs="宋体"/>
                <w:color w:val="auto"/>
                <w:kern w:val="0"/>
                <w:szCs w:val="21"/>
                <w:u w:val="double"/>
              </w:rPr>
            </w:pPr>
            <w:r>
              <w:rPr>
                <w:rFonts w:hint="eastAsia" w:ascii="宋体" w:hAnsi="宋体"/>
                <w:color w:val="auto"/>
                <w:szCs w:val="21"/>
              </w:rPr>
              <w:t>体育（Ⅰ）</w:t>
            </w:r>
          </w:p>
        </w:tc>
        <w:tc>
          <w:tcPr>
            <w:tcW w:w="1080"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本课程为体育基础综合课，以学生身体素质锻炼为主，增强体质。</w:t>
            </w:r>
          </w:p>
        </w:tc>
        <w:tc>
          <w:tcPr>
            <w:tcW w:w="2983" w:type="dxa"/>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0"/>
                <w:szCs w:val="21"/>
              </w:rPr>
              <w:t>教学过程中结合大学生体质健康测试项目，提高学生速度、耐力、柔韧、力量等身体素质。培养终身体育习惯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4</w:t>
            </w:r>
          </w:p>
        </w:tc>
        <w:tc>
          <w:tcPr>
            <w:tcW w:w="1478" w:type="dxa"/>
            <w:vAlign w:val="center"/>
          </w:tcPr>
          <w:p>
            <w:pPr>
              <w:widowControl/>
              <w:spacing w:line="240" w:lineRule="atLeast"/>
              <w:rPr>
                <w:rFonts w:ascii="宋体" w:hAnsi="宋体" w:cs="宋体"/>
                <w:color w:val="auto"/>
                <w:kern w:val="0"/>
                <w:szCs w:val="21"/>
                <w:u w:val="double"/>
              </w:rPr>
            </w:pPr>
            <w:r>
              <w:rPr>
                <w:rFonts w:ascii="宋体" w:hAnsi="宋体"/>
                <w:color w:val="auto"/>
                <w:szCs w:val="21"/>
              </w:rPr>
              <w:t>体育</w:t>
            </w:r>
            <w:r>
              <w:rPr>
                <w:rFonts w:hint="eastAsia" w:ascii="宋体" w:hAnsi="宋体"/>
                <w:color w:val="auto"/>
                <w:szCs w:val="21"/>
              </w:rPr>
              <w:t>（Ⅱ）</w:t>
            </w:r>
          </w:p>
        </w:tc>
        <w:tc>
          <w:tcPr>
            <w:tcW w:w="1080"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本课程为体育选项教学，主要有篮球、排球、足球、气排球、乒乓球、羽毛球、体育舞蹈、健美操、武术散打、形体训练等项目供学生选课，教学内容主要是各项目的基本技术与战术，以及基本竞赛规则。</w:t>
            </w:r>
          </w:p>
        </w:tc>
        <w:tc>
          <w:tcPr>
            <w:tcW w:w="2983" w:type="dxa"/>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学生根据自身兴趣爱好，任选一运动项目进行一学期的学习，学期目标掌握该运动项目的基本技术，能顺利通过该项目的素质和技能考核。培养终身体育习惯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5</w:t>
            </w:r>
          </w:p>
        </w:tc>
        <w:tc>
          <w:tcPr>
            <w:tcW w:w="1478" w:type="dxa"/>
            <w:vAlign w:val="center"/>
          </w:tcPr>
          <w:p>
            <w:pPr>
              <w:widowControl/>
              <w:spacing w:line="240" w:lineRule="atLeast"/>
              <w:rPr>
                <w:rFonts w:ascii="宋体" w:hAnsi="宋体" w:cs="宋体"/>
                <w:color w:val="auto"/>
                <w:kern w:val="0"/>
                <w:szCs w:val="21"/>
                <w:u w:val="double"/>
              </w:rPr>
            </w:pPr>
            <w:r>
              <w:rPr>
                <w:rFonts w:ascii="宋体" w:hAnsi="宋体"/>
                <w:color w:val="auto"/>
                <w:szCs w:val="21"/>
              </w:rPr>
              <w:t>体育</w:t>
            </w:r>
            <w:r>
              <w:rPr>
                <w:rFonts w:hint="eastAsia" w:ascii="宋体" w:hAnsi="宋体"/>
                <w:color w:val="auto"/>
                <w:szCs w:val="21"/>
              </w:rPr>
              <w:t>（Ⅲ）</w:t>
            </w:r>
          </w:p>
        </w:tc>
        <w:tc>
          <w:tcPr>
            <w:tcW w:w="1080"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本课程为体育选项教学，主要有篮球、排球、足球、气排球、乒乓球、羽毛球、体育舞蹈、健美操、武术散打、形体训练等项目供学生选课，是对第二学期选项的科目进行提升，教学内容主要是各项目的基本技术与战术，以及基本竞赛规则。</w:t>
            </w:r>
          </w:p>
        </w:tc>
        <w:tc>
          <w:tcPr>
            <w:tcW w:w="2983" w:type="dxa"/>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学生根据自身兴趣爱好，任选一运动项目进行一学期的学习，学期目标掌握该运动项目的基本技术，能顺利通过该项目的素质和技能考核。培养终身体育习惯。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6</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军事理论</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rPr>
            </w:pPr>
            <w:r>
              <w:rPr>
                <w:rFonts w:hint="eastAsia" w:ascii="宋体" w:hAnsi="宋体" w:cs="宋体"/>
                <w:color w:val="auto"/>
                <w:kern w:val="0"/>
                <w:szCs w:val="21"/>
              </w:rPr>
              <w:t>本课程的教学内容主要有：中国国防、军事思想、国家安全、军事高技术（信息化装备）、现代战争。通过该课程教学以提升学生国防意识和军事素养为重点，为实施军民融合发展战略和建设国防后备力量服务。</w:t>
            </w:r>
          </w:p>
        </w:tc>
        <w:tc>
          <w:tcPr>
            <w:tcW w:w="2983" w:type="dxa"/>
          </w:tcPr>
          <w:p>
            <w:pPr>
              <w:spacing w:line="240" w:lineRule="atLeast"/>
              <w:jc w:val="left"/>
              <w:rPr>
                <w:rFonts w:ascii="宋体" w:hAnsi="宋体" w:cs="宋体"/>
                <w:color w:val="auto"/>
                <w:kern w:val="0"/>
                <w:szCs w:val="21"/>
              </w:rPr>
            </w:pPr>
            <w:r>
              <w:rPr>
                <w:rFonts w:hint="eastAsia" w:ascii="宋体" w:hAnsi="宋体" w:cs="宋体"/>
                <w:color w:val="auto"/>
                <w:kern w:val="0"/>
                <w:szCs w:val="21"/>
              </w:rPr>
              <w:t>通过本课程系统的国防知识教育和严格的军事课教学，使大学生掌握基本军事理论，达到增强国防观念和国家安全意识，强化爱国主义、集体主义观念，加强组织纪律性，促进大学生综合素质的提高。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7</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军事技能</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tcPr>
          <w:p>
            <w:pPr>
              <w:autoSpaceDE w:val="0"/>
              <w:autoSpaceDN w:val="0"/>
              <w:adjustRightInd w:val="0"/>
              <w:spacing w:line="240" w:lineRule="atLeast"/>
              <w:jc w:val="left"/>
              <w:rPr>
                <w:rFonts w:ascii="宋体" w:cs="宋体"/>
                <w:color w:val="auto"/>
                <w:kern w:val="0"/>
                <w:szCs w:val="21"/>
              </w:rPr>
            </w:pPr>
            <w:r>
              <w:rPr>
                <w:rFonts w:hint="eastAsia" w:ascii="宋体" w:cs="宋体"/>
                <w:color w:val="auto"/>
                <w:kern w:val="0"/>
                <w:szCs w:val="21"/>
              </w:rPr>
              <w:t>教学内容包括：共同条令教育与训练、战术训练、防卫技能与战时防护训练、战备基础与应用训练等模块</w:t>
            </w:r>
          </w:p>
        </w:tc>
        <w:tc>
          <w:tcPr>
            <w:tcW w:w="2983" w:type="dxa"/>
          </w:tcPr>
          <w:p>
            <w:pPr>
              <w:autoSpaceDE w:val="0"/>
              <w:autoSpaceDN w:val="0"/>
              <w:adjustRightInd w:val="0"/>
              <w:spacing w:line="240" w:lineRule="atLeast"/>
              <w:jc w:val="left"/>
              <w:rPr>
                <w:rFonts w:ascii="宋体" w:cs="宋体"/>
                <w:color w:val="auto"/>
                <w:kern w:val="0"/>
                <w:szCs w:val="21"/>
              </w:rPr>
            </w:pPr>
            <w:r>
              <w:rPr>
                <w:rFonts w:hint="eastAsia" w:ascii="宋体" w:cs="宋体"/>
                <w:color w:val="auto"/>
                <w:kern w:val="0"/>
                <w:szCs w:val="21"/>
              </w:rPr>
              <w:t>让学生了解掌握军事基础知识和基本军事技能，增强国防观念、国家安全意识和忧患危机意识，弘扬爱国主义精神、传承红色基因、提高学生综合国防素质。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8</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形势与政策</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10"/>
                <w:szCs w:val="21"/>
              </w:rPr>
              <w:t>课程的教学内容包含形势与政策两部分。形势是国际和国内社会政治和经济发展的状况和态势，政策是党和国家为实现一定时期的目标和任务而制定的行为准则。政策的制定要以形势为客观依据，并根据形势的发展变化作必要的调整。形势与政策的内容是动态的，具有时效性强的特点。因此，形势与政策教育必须根据形势与政策的动态发展及其对人们的思想和社会生活的影响，及时地调整教学内容，要以事明理，以理论事，通过国际国内发生的重大事件和我国社会发展的进程，帮助学生正确认识形势，深刻理解党的政策。</w:t>
            </w:r>
          </w:p>
        </w:tc>
        <w:tc>
          <w:tcPr>
            <w:tcW w:w="2983" w:type="dxa"/>
            <w:vAlign w:val="center"/>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0"/>
                <w:szCs w:val="21"/>
              </w:rPr>
              <w:t>运用马克思主义的形势观及其认识分析形势的立场、观点和方法对国内外热点问题做出分析，使学生较为全面系统地掌握有关形势与政策的基本概念、正确分析形势的方法，理解政策及我国基本国情、党和政府基本治国方略的能力，形成正确的政治观，学会用马克思主义的立场、观点和方法观察分析形势，理解和执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9</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大学生职业发展与就业指导</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s="宋体"/>
                <w:color w:val="auto"/>
                <w:kern w:val="0"/>
                <w:szCs w:val="21"/>
                <w:u w:val="double"/>
              </w:rPr>
            </w:pPr>
            <w:r>
              <w:rPr>
                <w:rFonts w:hint="eastAsia" w:ascii="宋体" w:hAnsi="宋体"/>
                <w:color w:val="auto"/>
                <w:szCs w:val="21"/>
              </w:rPr>
              <w:t>主要内容包括建立生涯与职业意识、职业发展规划、提高就业能力、求职过程指导、职业适应与发展等。</w:t>
            </w:r>
          </w:p>
        </w:tc>
        <w:tc>
          <w:tcPr>
            <w:tcW w:w="2983" w:type="dxa"/>
          </w:tcPr>
          <w:p>
            <w:pPr>
              <w:widowControl/>
              <w:spacing w:line="240" w:lineRule="atLeast"/>
              <w:jc w:val="left"/>
              <w:rPr>
                <w:rFonts w:ascii="宋体" w:hAnsi="宋体"/>
                <w:color w:val="auto"/>
                <w:szCs w:val="21"/>
              </w:rPr>
            </w:pPr>
            <w:r>
              <w:rPr>
                <w:rFonts w:hint="eastAsia" w:ascii="宋体" w:hAnsi="宋体"/>
                <w:color w:val="auto"/>
                <w:szCs w:val="21"/>
              </w:rPr>
              <w:t>大学生职业发展与就业指导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10</w:t>
            </w:r>
          </w:p>
        </w:tc>
        <w:tc>
          <w:tcPr>
            <w:tcW w:w="1478" w:type="dxa"/>
            <w:vAlign w:val="center"/>
          </w:tcPr>
          <w:p>
            <w:pPr>
              <w:widowControl/>
              <w:spacing w:line="240" w:lineRule="atLeast"/>
              <w:rPr>
                <w:rFonts w:ascii="宋体" w:hAnsi="宋体"/>
                <w:color w:val="auto"/>
                <w:sz w:val="18"/>
                <w:szCs w:val="18"/>
              </w:rPr>
            </w:pPr>
            <w:r>
              <w:rPr>
                <w:rFonts w:hint="eastAsia" w:ascii="宋体" w:hAnsi="宋体"/>
                <w:color w:val="auto"/>
                <w:szCs w:val="21"/>
              </w:rPr>
              <w:t>大学生心理健康教育</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基础必修课</w:t>
            </w:r>
          </w:p>
        </w:tc>
        <w:tc>
          <w:tcPr>
            <w:tcW w:w="3027" w:type="dxa"/>
            <w:vAlign w:val="center"/>
          </w:tcPr>
          <w:p>
            <w:pPr>
              <w:widowControl/>
              <w:spacing w:line="240" w:lineRule="atLeast"/>
              <w:jc w:val="left"/>
              <w:rPr>
                <w:rFonts w:ascii="宋体" w:hAnsi="宋体"/>
                <w:color w:val="auto"/>
                <w:szCs w:val="21"/>
              </w:rPr>
            </w:pPr>
            <w:r>
              <w:rPr>
                <w:rFonts w:hint="eastAsia" w:ascii="宋体" w:hAnsi="宋体"/>
                <w:color w:val="auto"/>
                <w:szCs w:val="21"/>
              </w:rPr>
              <w:t>主要内容包括认识大学生心理健康、自我意识的发展、人格心理的健全、情绪的调节、人际交往与心理健康、恋爱与性心理的调适、网络心理的培育、挫折心理的调控、心理上迎接成功等。</w:t>
            </w:r>
          </w:p>
        </w:tc>
        <w:tc>
          <w:tcPr>
            <w:tcW w:w="2983" w:type="dxa"/>
          </w:tcPr>
          <w:p>
            <w:pPr>
              <w:widowControl/>
              <w:spacing w:line="240" w:lineRule="atLeast"/>
              <w:jc w:val="left"/>
              <w:rPr>
                <w:rFonts w:ascii="宋体" w:hAnsi="宋体"/>
                <w:color w:val="auto"/>
                <w:szCs w:val="21"/>
              </w:rPr>
            </w:pPr>
            <w:r>
              <w:rPr>
                <w:rFonts w:hint="eastAsia" w:ascii="宋体" w:hAnsi="宋体"/>
                <w:color w:val="auto"/>
                <w:szCs w:val="21"/>
              </w:rPr>
              <w:t>掌握心理健康概念、健康标准及自我意识、人格等概念，培养学生运用心理学原理自我审视，观察他人，看待世界，并运用所学知识，处理好人际关系，调节情绪，维护心理健康。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11</w:t>
            </w:r>
          </w:p>
        </w:tc>
        <w:tc>
          <w:tcPr>
            <w:tcW w:w="1478" w:type="dxa"/>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习近平新时代中国特色社会主义思想概论</w:t>
            </w:r>
          </w:p>
        </w:tc>
        <w:tc>
          <w:tcPr>
            <w:tcW w:w="1080" w:type="dxa"/>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公共基础</w:t>
            </w:r>
            <w:r>
              <w:rPr>
                <w:rFonts w:ascii="宋体" w:hAnsi="宋体" w:cs="宋体"/>
                <w:color w:val="auto"/>
                <w:kern w:val="0"/>
                <w:szCs w:val="21"/>
              </w:rPr>
              <w:t>必修课</w:t>
            </w:r>
          </w:p>
        </w:tc>
        <w:tc>
          <w:tcPr>
            <w:tcW w:w="3027" w:type="dxa"/>
            <w:vAlign w:val="top"/>
          </w:tcPr>
          <w:p>
            <w:pP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课程教学内容紧紧围绕习近平新时代中国特色社会主义思想是党和国家必须长期坚持的指导思想这一主题，以“十个明确”和“十四个坚持”为核心内容和主要依据，对习近平新时代中国特色社会主义思想进行全面系统的阐述，以及习近平新时代中国特色社会主义思想的基本精神、基本内容、基本要求，具体包括</w:t>
            </w:r>
            <w:r>
              <w:rPr>
                <w:rFonts w:ascii="Helvetica" w:hAnsi="Helvetica" w:cs="Helvetica"/>
                <w:color w:val="auto"/>
                <w:szCs w:val="21"/>
                <w:shd w:val="clear" w:color="auto" w:fill="FFFFFF"/>
              </w:rPr>
              <w:t>中国特色社会主义最本质的特征</w:t>
            </w:r>
            <w:r>
              <w:rPr>
                <w:rFonts w:hint="eastAsia" w:ascii="Helvetica" w:hAnsi="Helvetica" w:cs="Helvetica"/>
                <w:color w:val="auto"/>
                <w:szCs w:val="21"/>
                <w:shd w:val="clear" w:color="auto" w:fill="FFFFFF"/>
              </w:rPr>
              <w:t>、</w:t>
            </w:r>
            <w:r>
              <w:rPr>
                <w:rFonts w:ascii="Helvetica" w:hAnsi="Helvetica" w:cs="Helvetica"/>
                <w:color w:val="auto"/>
                <w:szCs w:val="21"/>
                <w:shd w:val="clear" w:color="auto" w:fill="FFFFFF"/>
              </w:rPr>
              <w:t>坚持和发展中国特色社会主义</w:t>
            </w:r>
            <w:r>
              <w:rPr>
                <w:rFonts w:hint="eastAsia" w:ascii="Helvetica" w:hAnsi="Helvetica" w:cs="Helvetica"/>
                <w:color w:val="auto"/>
                <w:szCs w:val="21"/>
                <w:shd w:val="clear" w:color="auto" w:fill="FFFFFF"/>
              </w:rPr>
              <w:t>的</w:t>
            </w:r>
            <w:r>
              <w:rPr>
                <w:rFonts w:ascii="Helvetica" w:hAnsi="Helvetica" w:cs="Helvetica"/>
                <w:color w:val="auto"/>
                <w:szCs w:val="21"/>
                <w:shd w:val="clear" w:color="auto" w:fill="FFFFFF"/>
              </w:rPr>
              <w:t>总任务</w:t>
            </w:r>
            <w:r>
              <w:rPr>
                <w:rFonts w:hint="eastAsia" w:ascii="Helvetica" w:hAnsi="Helvetica" w:cs="Helvetica"/>
                <w:color w:val="auto"/>
                <w:szCs w:val="21"/>
                <w:shd w:val="clear" w:color="auto" w:fill="FFFFFF"/>
              </w:rPr>
              <w:t>、</w:t>
            </w:r>
            <w:r>
              <w:rPr>
                <w:rFonts w:ascii="Helvetica" w:hAnsi="Helvetica" w:cs="Helvetica"/>
                <w:color w:val="auto"/>
                <w:szCs w:val="21"/>
                <w:shd w:val="clear" w:color="auto" w:fill="FFFFFF"/>
              </w:rPr>
              <w:t>新时代我国社会主要矛盾</w:t>
            </w:r>
            <w:r>
              <w:rPr>
                <w:rFonts w:hint="eastAsia" w:ascii="Helvetica" w:hAnsi="Helvetica" w:cs="Helvetica"/>
                <w:color w:val="auto"/>
                <w:szCs w:val="21"/>
                <w:shd w:val="clear" w:color="auto" w:fill="FFFFFF"/>
              </w:rPr>
              <w:t>、</w:t>
            </w:r>
            <w:r>
              <w:rPr>
                <w:rFonts w:ascii="Helvetica" w:hAnsi="Helvetica" w:cs="Helvetica"/>
                <w:color w:val="auto"/>
                <w:szCs w:val="21"/>
                <w:shd w:val="clear" w:color="auto" w:fill="FFFFFF"/>
              </w:rPr>
              <w:t>中国特色社会主义事业总体布局</w:t>
            </w:r>
            <w:r>
              <w:rPr>
                <w:rFonts w:hint="eastAsia" w:ascii="Helvetica" w:hAnsi="Helvetica" w:cs="Helvetica"/>
                <w:color w:val="auto"/>
                <w:szCs w:val="21"/>
                <w:shd w:val="clear" w:color="auto" w:fill="FFFFFF"/>
              </w:rPr>
              <w:t>和战略布局、</w:t>
            </w:r>
            <w:r>
              <w:rPr>
                <w:rFonts w:ascii="Helvetica" w:hAnsi="Helvetica" w:cs="Helvetica"/>
                <w:color w:val="auto"/>
                <w:szCs w:val="21"/>
                <w:shd w:val="clear" w:color="auto" w:fill="FFFFFF"/>
              </w:rPr>
              <w:t>新时代强军目标</w:t>
            </w:r>
            <w:r>
              <w:rPr>
                <w:rFonts w:hint="eastAsia" w:ascii="Helvetica" w:hAnsi="Helvetica" w:cs="Helvetica"/>
                <w:color w:val="auto"/>
                <w:szCs w:val="21"/>
                <w:shd w:val="clear" w:color="auto" w:fill="FFFFFF"/>
              </w:rPr>
              <w:t>、</w:t>
            </w:r>
            <w:r>
              <w:rPr>
                <w:rFonts w:ascii="Helvetica" w:hAnsi="Helvetica" w:cs="Helvetica"/>
                <w:color w:val="auto"/>
                <w:szCs w:val="21"/>
                <w:shd w:val="clear" w:color="auto" w:fill="FFFFFF"/>
              </w:rPr>
              <w:t>中国特色大国外交</w:t>
            </w:r>
            <w:r>
              <w:rPr>
                <w:rFonts w:hint="eastAsia" w:ascii="Helvetica" w:hAnsi="Helvetica" w:cs="Helvetica"/>
                <w:color w:val="auto"/>
                <w:szCs w:val="21"/>
                <w:shd w:val="clear" w:color="auto" w:fill="FFFFFF"/>
              </w:rPr>
              <w:t>、</w:t>
            </w:r>
            <w:r>
              <w:rPr>
                <w:rFonts w:ascii="Helvetica" w:hAnsi="Helvetica" w:cs="Helvetica"/>
                <w:color w:val="auto"/>
                <w:szCs w:val="21"/>
                <w:shd w:val="clear" w:color="auto" w:fill="FFFFFF"/>
              </w:rPr>
              <w:t>全面从严治党的战略方针</w:t>
            </w:r>
            <w:r>
              <w:rPr>
                <w:rFonts w:hint="eastAsia" w:ascii="Helvetica" w:hAnsi="Helvetica" w:cs="Helvetica"/>
                <w:color w:val="auto"/>
                <w:szCs w:val="21"/>
                <w:shd w:val="clear" w:color="auto" w:fill="FFFFFF"/>
              </w:rPr>
              <w:t>等重要内容</w:t>
            </w:r>
            <w:r>
              <w:rPr>
                <w:rFonts w:hint="eastAsia" w:ascii="宋体" w:hAnsi="宋体" w:eastAsia="宋体"/>
                <w:color w:val="auto"/>
              </w:rPr>
              <w:t>。</w:t>
            </w:r>
          </w:p>
        </w:tc>
        <w:tc>
          <w:tcPr>
            <w:tcW w:w="2983" w:type="dxa"/>
            <w:vAlign w:val="top"/>
          </w:tcPr>
          <w:p>
            <w:pP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要求向学生讲透习近平新时代中国特色社会主义思想的核心要义、精神实质、丰富内涵、实践要求，使学生掌握马克思主义中国化最新成果，全面理解习近平新时代中国特色社会主义思想的历史地位、主要内容和战略部署。课程讲授中要求运用多样化教学方法，采用丰富的案例，结合我国各领域发展最新成就，使学生更好领悟习近平新时代中国特色社会主义思想对实现中华民族伟大复兴的重大指导意义。通过课程教学增强大学生的“四个意识”，坚定“四个自信”，做到“两个维护”，拥护“两个确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12</w:t>
            </w:r>
          </w:p>
        </w:tc>
        <w:tc>
          <w:tcPr>
            <w:tcW w:w="1478" w:type="dxa"/>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四史教育</w:t>
            </w:r>
          </w:p>
        </w:tc>
        <w:tc>
          <w:tcPr>
            <w:tcW w:w="1080" w:type="dxa"/>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公共基础</w:t>
            </w:r>
            <w:r>
              <w:rPr>
                <w:rFonts w:ascii="宋体" w:hAnsi="宋体" w:cs="宋体"/>
                <w:color w:val="auto"/>
                <w:kern w:val="0"/>
                <w:szCs w:val="21"/>
              </w:rPr>
              <w:t>必修课</w:t>
            </w:r>
          </w:p>
        </w:tc>
        <w:tc>
          <w:tcPr>
            <w:tcW w:w="3027" w:type="dxa"/>
            <w:vAlign w:val="top"/>
          </w:tcPr>
          <w:p>
            <w:pP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 xml:space="preserve">“四史”指的是中共党史、新中国史、改革开放史和社会主义发展史；整体讲的就是中国共产党为人民谋幸福、为民族谋复兴、为世界谋大同的实践史。党史教育主要向学生介绍中国共产党的百年实践，以及所取得的历史经验；新中国史主要向学生讲授中国共产党推进建设新中国的历史，带领人民实现了中华民族从站起来、富起来到强起来的伟大历史飞跃；改革开放史主要向学生介绍党的十一届三中全会以后，党中央做出实行改革开放的历史性决策，不断推进我国各项事业的健康发展；社会主义发展史主要向学生讲述社会主义经历了从空想到科学，从理论到现实，从一国到多国的发展过程。 </w:t>
            </w:r>
          </w:p>
        </w:tc>
        <w:tc>
          <w:tcPr>
            <w:tcW w:w="2983" w:type="dxa"/>
            <w:vAlign w:val="top"/>
          </w:tcPr>
          <w:p>
            <w:pPr>
              <w:rPr>
                <w:rFonts w:hint="eastAsia" w:ascii="宋体" w:hAnsi="宋体" w:eastAsia="宋体" w:cs="Times New Roman"/>
                <w:color w:val="auto"/>
                <w:kern w:val="2"/>
                <w:sz w:val="21"/>
                <w:szCs w:val="24"/>
                <w:lang w:val="en-US" w:eastAsia="zh-CN" w:bidi="ar-SA"/>
              </w:rPr>
            </w:pPr>
            <w:r>
              <w:rPr>
                <w:rFonts w:hint="eastAsia" w:ascii="宋体" w:hAnsi="宋体" w:eastAsia="宋体"/>
                <w:color w:val="auto"/>
              </w:rPr>
              <w:t>教学过程中始终围绕中国共产党的领导是“四史”主线这一原则，通过教学使学生懂得中国共产党是以马克思主义为指导的先进政党，实现中华民族伟大复兴，必须坚持和加强党的领导，中国共产党必须勇于自我革命，推进党的政治、思想、组织、作风、纪律和制度建设，成为中华民族伟大复兴当之无愧的最高政治领导力量。使学生懂得，中国特色社会主义不仅属于中国，而且属于整个世界，中国特色社会主义为世界社会主义运动带来新活力，为当今世界各国的发展提供了参考与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13</w:t>
            </w:r>
          </w:p>
        </w:tc>
        <w:tc>
          <w:tcPr>
            <w:tcW w:w="1478" w:type="dxa"/>
            <w:vAlign w:val="center"/>
          </w:tcPr>
          <w:p>
            <w:pPr>
              <w:widowControl/>
              <w:spacing w:line="0" w:lineRule="atLeast"/>
              <w:outlineLvl w:val="0"/>
              <w:rPr>
                <w:rFonts w:ascii="宋体" w:hAnsi="宋体" w:cs="宋体"/>
                <w:color w:val="auto"/>
                <w:kern w:val="0"/>
                <w:szCs w:val="21"/>
              </w:rPr>
            </w:pPr>
            <w:r>
              <w:rPr>
                <w:rFonts w:hint="eastAsia" w:ascii="宋体" w:hAnsi="宋体" w:cs="宋体"/>
                <w:color w:val="auto"/>
                <w:kern w:val="0"/>
                <w:szCs w:val="21"/>
              </w:rPr>
              <w:t>劳动教育</w:t>
            </w:r>
          </w:p>
        </w:tc>
        <w:tc>
          <w:tcPr>
            <w:tcW w:w="1080" w:type="dxa"/>
            <w:vAlign w:val="center"/>
          </w:tcPr>
          <w:p>
            <w:pPr>
              <w:widowControl/>
              <w:spacing w:line="0" w:lineRule="atLeast"/>
              <w:outlineLvl w:val="0"/>
              <w:rPr>
                <w:rFonts w:ascii="宋体" w:hAnsi="宋体" w:cs="宋体"/>
                <w:color w:val="auto"/>
                <w:kern w:val="0"/>
                <w:szCs w:val="21"/>
              </w:rPr>
            </w:pPr>
            <w:r>
              <w:rPr>
                <w:rFonts w:hint="eastAsia" w:ascii="宋体" w:hAnsi="宋体" w:cs="宋体"/>
                <w:color w:val="auto"/>
                <w:kern w:val="0"/>
                <w:szCs w:val="21"/>
              </w:rPr>
              <w:t>公共基础必修课</w:t>
            </w:r>
          </w:p>
        </w:tc>
        <w:tc>
          <w:tcPr>
            <w:tcW w:w="3027" w:type="dxa"/>
            <w:vAlign w:val="center"/>
          </w:tcPr>
          <w:p>
            <w:pPr>
              <w:widowControl/>
              <w:spacing w:line="0" w:lineRule="atLeast"/>
              <w:outlineLvl w:val="0"/>
              <w:rPr>
                <w:rFonts w:ascii="宋体" w:hAnsi="宋体" w:cs="宋体"/>
                <w:color w:val="auto"/>
                <w:kern w:val="0"/>
                <w:szCs w:val="21"/>
              </w:rPr>
            </w:pPr>
            <w:r>
              <w:rPr>
                <w:rFonts w:hint="eastAsia" w:ascii="宋体" w:hAnsi="宋体" w:cs="宋体"/>
                <w:color w:val="auto"/>
                <w:kern w:val="0"/>
                <w:szCs w:val="21"/>
              </w:rPr>
              <w:t>课程涵盖劳动科学不同领域的基础知识，围绕劳动主题，从历史到未来，完整勾勒出劳动科学的基本样貌，包括劳动的思想、劳动与人生、劳动与经济、劳动与法律、劳动与安全、劳动的未来等内容。</w:t>
            </w:r>
          </w:p>
        </w:tc>
        <w:tc>
          <w:tcPr>
            <w:tcW w:w="2983" w:type="dxa"/>
            <w:vAlign w:val="center"/>
          </w:tcPr>
          <w:p>
            <w:pPr>
              <w:widowControl/>
              <w:spacing w:line="0" w:lineRule="atLeast"/>
              <w:outlineLvl w:val="0"/>
              <w:rPr>
                <w:rFonts w:ascii="宋体" w:hAnsi="宋体" w:cs="宋体"/>
                <w:color w:val="auto"/>
                <w:kern w:val="0"/>
                <w:szCs w:val="21"/>
              </w:rPr>
            </w:pPr>
            <w:r>
              <w:rPr>
                <w:rFonts w:hint="eastAsia" w:ascii="宋体" w:hAnsi="宋体" w:cs="宋体"/>
                <w:color w:val="auto"/>
                <w:kern w:val="0"/>
                <w:szCs w:val="21"/>
              </w:rPr>
              <w:t>通过本课程学习，能使学生掌握与自身未来职业发展密切相关的通用劳动科学知识，理解和形成马克思主义劳动观，树立正确的劳动价值取向和积极的劳动精神面貌。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14</w:t>
            </w:r>
          </w:p>
        </w:tc>
        <w:tc>
          <w:tcPr>
            <w:tcW w:w="1478" w:type="dxa"/>
            <w:vAlign w:val="center"/>
          </w:tcPr>
          <w:p>
            <w:pPr>
              <w:widowControl/>
              <w:spacing w:line="0" w:lineRule="atLeast"/>
              <w:outlineLvl w:val="0"/>
              <w:rPr>
                <w:rFonts w:ascii="宋体" w:hAnsi="宋体" w:cs="宋体"/>
                <w:color w:val="auto"/>
                <w:kern w:val="0"/>
                <w:szCs w:val="21"/>
              </w:rPr>
            </w:pPr>
            <w:r>
              <w:rPr>
                <w:color w:val="auto"/>
              </w:rPr>
              <w:t>国家安全教育</w:t>
            </w:r>
          </w:p>
        </w:tc>
        <w:tc>
          <w:tcPr>
            <w:tcW w:w="1080" w:type="dxa"/>
            <w:vAlign w:val="center"/>
          </w:tcPr>
          <w:p>
            <w:pPr>
              <w:widowControl/>
              <w:spacing w:line="0" w:lineRule="atLeast"/>
              <w:outlineLvl w:val="0"/>
              <w:rPr>
                <w:rFonts w:ascii="宋体" w:hAnsi="宋体" w:cs="宋体"/>
                <w:color w:val="auto"/>
                <w:kern w:val="0"/>
                <w:szCs w:val="21"/>
              </w:rPr>
            </w:pPr>
            <w:r>
              <w:rPr>
                <w:rFonts w:hint="eastAsia" w:ascii="宋体" w:hAnsi="宋体" w:cs="宋体"/>
                <w:color w:val="auto"/>
                <w:kern w:val="0"/>
                <w:szCs w:val="21"/>
              </w:rPr>
              <w:t>公共基础必修课</w:t>
            </w:r>
          </w:p>
        </w:tc>
        <w:tc>
          <w:tcPr>
            <w:tcW w:w="3027" w:type="dxa"/>
            <w:vAlign w:val="center"/>
          </w:tcPr>
          <w:p>
            <w:pPr>
              <w:widowControl/>
              <w:spacing w:line="0" w:lineRule="atLeast"/>
              <w:outlineLvl w:val="0"/>
              <w:rPr>
                <w:rFonts w:ascii="宋体" w:hAnsi="宋体" w:cs="宋体"/>
                <w:color w:val="auto"/>
                <w:kern w:val="0"/>
                <w:szCs w:val="21"/>
              </w:rPr>
            </w:pPr>
            <w:r>
              <w:rPr>
                <w:color w:val="auto"/>
              </w:rPr>
              <w:t>本课程以习近平总体国家安全观为主线，全面介绍国家安全战略、国家安全管理和国家安全法治等内容，向大学生展现一张宏伟的国家安全蓝图，激发大学生的爱国主义情怀。</w:t>
            </w:r>
          </w:p>
        </w:tc>
        <w:tc>
          <w:tcPr>
            <w:tcW w:w="2983" w:type="dxa"/>
            <w:vAlign w:val="center"/>
          </w:tcPr>
          <w:p>
            <w:pPr>
              <w:widowControl/>
              <w:spacing w:line="0" w:lineRule="atLeast"/>
              <w:outlineLvl w:val="0"/>
              <w:rPr>
                <w:rFonts w:ascii="宋体" w:hAnsi="宋体" w:cs="宋体"/>
                <w:color w:val="auto"/>
                <w:kern w:val="0"/>
                <w:szCs w:val="21"/>
              </w:rPr>
            </w:pPr>
            <w:r>
              <w:rPr>
                <w:rFonts w:hint="eastAsia"/>
                <w:color w:val="auto"/>
              </w:rPr>
              <w:t>本课程</w:t>
            </w:r>
            <w:r>
              <w:rPr>
                <w:color w:val="auto"/>
              </w:rPr>
              <w:t>通过案例教学，以鲜活的安全案例来阐述国家安全理论，让大学生从生动的案例中学习国家安全知识，培养大学生维护国家安全的责任感与能力。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15</w:t>
            </w:r>
          </w:p>
        </w:tc>
        <w:tc>
          <w:tcPr>
            <w:tcW w:w="1478" w:type="dxa"/>
            <w:vAlign w:val="center"/>
          </w:tcPr>
          <w:p>
            <w:pPr>
              <w:widowControl/>
              <w:spacing w:line="0" w:lineRule="atLeast"/>
              <w:outlineLvl w:val="0"/>
              <w:rPr>
                <w:rFonts w:ascii="宋体" w:hAnsi="宋体"/>
                <w:color w:val="auto"/>
                <w:szCs w:val="21"/>
                <w:highlight w:val="yellow"/>
              </w:rPr>
            </w:pPr>
            <w:r>
              <w:rPr>
                <w:rFonts w:hint="eastAsia" w:ascii="宋体" w:hAnsi="宋体"/>
                <w:color w:val="auto"/>
                <w:szCs w:val="21"/>
              </w:rPr>
              <w:t>高职英语（Ⅰ）</w:t>
            </w:r>
          </w:p>
        </w:tc>
        <w:tc>
          <w:tcPr>
            <w:tcW w:w="1080" w:type="dxa"/>
            <w:vAlign w:val="center"/>
          </w:tcPr>
          <w:p>
            <w:pPr>
              <w:widowControl/>
              <w:spacing w:line="0" w:lineRule="atLeast"/>
              <w:jc w:val="center"/>
              <w:outlineLvl w:val="0"/>
              <w:rPr>
                <w:rFonts w:ascii="宋体" w:hAnsi="宋体" w:cs="宋体"/>
                <w:color w:val="auto"/>
                <w:kern w:val="0"/>
                <w:szCs w:val="21"/>
                <w:highlight w:val="yellow"/>
                <w:u w:val="double"/>
              </w:rPr>
            </w:pPr>
            <w:r>
              <w:rPr>
                <w:rFonts w:hint="eastAsia" w:ascii="宋体" w:hAnsi="宋体" w:cs="宋体"/>
                <w:color w:val="auto"/>
                <w:kern w:val="0"/>
                <w:szCs w:val="21"/>
              </w:rPr>
              <w:t>公共</w:t>
            </w:r>
            <w:r>
              <w:rPr>
                <w:rFonts w:ascii="宋体" w:hAnsi="宋体" w:cs="宋体"/>
                <w:color w:val="auto"/>
                <w:kern w:val="0"/>
                <w:szCs w:val="21"/>
              </w:rPr>
              <w:t>基础</w:t>
            </w:r>
            <w:r>
              <w:rPr>
                <w:rFonts w:hint="eastAsia" w:ascii="宋体" w:hAnsi="宋体" w:cs="宋体"/>
                <w:color w:val="auto"/>
                <w:kern w:val="0"/>
                <w:szCs w:val="21"/>
              </w:rPr>
              <w:t>限选</w:t>
            </w:r>
            <w:r>
              <w:rPr>
                <w:rFonts w:ascii="宋体" w:hAnsi="宋体" w:cs="宋体"/>
                <w:color w:val="auto"/>
                <w:kern w:val="0"/>
                <w:szCs w:val="21"/>
              </w:rPr>
              <w:t>课</w:t>
            </w:r>
          </w:p>
        </w:tc>
        <w:tc>
          <w:tcPr>
            <w:tcW w:w="3027" w:type="dxa"/>
            <w:vAlign w:val="center"/>
          </w:tcPr>
          <w:p>
            <w:pPr>
              <w:widowControl/>
              <w:spacing w:line="0" w:lineRule="atLeast"/>
              <w:outlineLvl w:val="0"/>
              <w:rPr>
                <w:rFonts w:ascii="宋体" w:hAnsi="宋体"/>
                <w:color w:val="auto"/>
                <w:szCs w:val="21"/>
                <w:highlight w:val="yellow"/>
              </w:rPr>
            </w:pPr>
            <w:r>
              <w:rPr>
                <w:rFonts w:hint="eastAsia" w:ascii="宋体" w:hAnsi="宋体"/>
                <w:color w:val="auto"/>
                <w:szCs w:val="21"/>
              </w:rPr>
              <w:t>1.通过学习主要英语语言国家的文化背景知识，了解相关的跨文化交际常识，能够做到涉外交际中的礼仪规范；2.通过学习语音发音规律和语法知识，进一步掌握基础的语音知识，达到发音、语调基本正确，了解基本语言规律。3.通过练习常用口头交际对话，能够听懂一般交际中的简单对话，达到日常简单沟通无障碍；4.通过各类主题阅读短文训练，能够理解工作中常用的实用文体，如信函、产品说明、采购合同等；5.通过学习写作范文，能读懂通用的简短实用文字材料并进行模拟套写。能借助词典、网络软件等工具将中等难度的一般题材的文字材料和对外交往中的一般业务文字材料进行汉英互译。</w:t>
            </w:r>
          </w:p>
        </w:tc>
        <w:tc>
          <w:tcPr>
            <w:tcW w:w="2983" w:type="dxa"/>
          </w:tcPr>
          <w:p>
            <w:pPr>
              <w:widowControl/>
              <w:spacing w:line="0" w:lineRule="atLeast"/>
              <w:outlineLvl w:val="0"/>
              <w:rPr>
                <w:rFonts w:ascii="宋体" w:hAnsi="宋体"/>
                <w:color w:val="auto"/>
                <w:szCs w:val="21"/>
                <w:highlight w:val="yellow"/>
              </w:rPr>
            </w:pPr>
            <w:r>
              <w:rPr>
                <w:rFonts w:hint="eastAsia" w:ascii="宋体" w:hAnsi="宋体"/>
                <w:color w:val="auto"/>
                <w:szCs w:val="21"/>
              </w:rPr>
              <w:t>课程以职场交际为目标，以应用为目的，培养学生英语语言的实际应用能力。通过本课程的学习，使学生掌握基础的英语语言、文化知识和技能，具备一定的听、说、读、写、译的能力；能在日常活动和与未来职业相关的业务活动中进行一般的口头和书面交流；使学生了解中西方文化之间的差异，提高跨文化交际能力；掌握有效的学习方法，增强自主学习能力，为提升今后的就业竞争力及可持续发展能力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16</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高职数学</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w:t>
            </w:r>
            <w:r>
              <w:rPr>
                <w:rFonts w:hint="eastAsia" w:ascii="宋体" w:hAnsi="宋体" w:cs="宋体"/>
                <w:color w:val="auto"/>
                <w:kern w:val="0"/>
                <w:szCs w:val="21"/>
              </w:rPr>
              <w:t>限选</w:t>
            </w:r>
            <w:r>
              <w:rPr>
                <w:rFonts w:ascii="宋体" w:hAnsi="宋体" w:cs="宋体"/>
                <w:color w:val="auto"/>
                <w:kern w:val="0"/>
                <w:szCs w:val="21"/>
              </w:rPr>
              <w:t>课</w:t>
            </w:r>
          </w:p>
        </w:tc>
        <w:tc>
          <w:tcPr>
            <w:tcW w:w="3027" w:type="dxa"/>
            <w:vAlign w:val="center"/>
          </w:tcPr>
          <w:p>
            <w:pPr>
              <w:widowControl/>
              <w:spacing w:line="240" w:lineRule="atLeast"/>
              <w:jc w:val="left"/>
              <w:rPr>
                <w:rFonts w:ascii="宋体" w:hAnsi="宋体"/>
                <w:color w:val="auto"/>
                <w:szCs w:val="21"/>
              </w:rPr>
            </w:pPr>
            <w:r>
              <w:rPr>
                <w:rFonts w:hint="eastAsia" w:ascii="宋体" w:hAnsi="宋体"/>
                <w:color w:val="auto"/>
                <w:szCs w:val="21"/>
              </w:rPr>
              <w:t>常见几何体面积和体积的计算，单利、复利和年金的计算，函数的极限与连续，函数的导数与微分等。</w:t>
            </w:r>
          </w:p>
        </w:tc>
        <w:tc>
          <w:tcPr>
            <w:tcW w:w="2983" w:type="dxa"/>
          </w:tcPr>
          <w:p>
            <w:pPr>
              <w:widowControl/>
              <w:spacing w:line="240" w:lineRule="atLeast"/>
              <w:jc w:val="left"/>
              <w:rPr>
                <w:rFonts w:ascii="宋体" w:hAnsi="宋体"/>
                <w:color w:val="auto"/>
                <w:szCs w:val="21"/>
              </w:rPr>
            </w:pPr>
            <w:r>
              <w:rPr>
                <w:rFonts w:hint="eastAsia" w:ascii="宋体" w:hAnsi="宋体"/>
                <w:color w:val="auto"/>
                <w:szCs w:val="21"/>
              </w:rPr>
              <w:t>培养学生的运算能力，提高学生的数学素养。掌握多面体和旋转体面积、体积的计算，单利、复利和年金的计算，会判断函数的连续性，会求常见函数的极限、导数和微分，能利用导数解决一些简单的实际问题。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高职计算机应用基础</w:t>
            </w:r>
          </w:p>
        </w:tc>
        <w:tc>
          <w:tcPr>
            <w:tcW w:w="1080" w:type="dxa"/>
            <w:vAlign w:val="center"/>
          </w:tcPr>
          <w:p>
            <w:pPr>
              <w:widowControl/>
              <w:spacing w:line="240" w:lineRule="atLeast"/>
              <w:jc w:val="center"/>
              <w:rPr>
                <w:rFonts w:ascii="宋体" w:hAnsi="宋体" w:cs="宋体"/>
                <w:color w:val="auto"/>
                <w:kern w:val="0"/>
                <w:szCs w:val="21"/>
                <w:u w:val="double"/>
              </w:rPr>
            </w:pPr>
            <w:r>
              <w:rPr>
                <w:rFonts w:hint="eastAsia" w:ascii="宋体" w:hAnsi="宋体" w:cs="宋体"/>
                <w:color w:val="auto"/>
                <w:kern w:val="0"/>
                <w:szCs w:val="21"/>
              </w:rPr>
              <w:t>公共</w:t>
            </w:r>
            <w:r>
              <w:rPr>
                <w:rFonts w:ascii="宋体" w:hAnsi="宋体" w:cs="宋体"/>
                <w:color w:val="auto"/>
                <w:kern w:val="0"/>
                <w:szCs w:val="21"/>
              </w:rPr>
              <w:t>基础</w:t>
            </w:r>
            <w:r>
              <w:rPr>
                <w:rFonts w:hint="eastAsia" w:ascii="宋体" w:hAnsi="宋体" w:cs="宋体"/>
                <w:color w:val="auto"/>
                <w:kern w:val="0"/>
                <w:szCs w:val="21"/>
              </w:rPr>
              <w:t>限选</w:t>
            </w:r>
            <w:r>
              <w:rPr>
                <w:rFonts w:ascii="宋体" w:hAnsi="宋体" w:cs="宋体"/>
                <w:color w:val="auto"/>
                <w:kern w:val="0"/>
                <w:szCs w:val="21"/>
              </w:rPr>
              <w:t>课</w:t>
            </w:r>
          </w:p>
        </w:tc>
        <w:tc>
          <w:tcPr>
            <w:tcW w:w="3027" w:type="dxa"/>
            <w:vAlign w:val="center"/>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0"/>
                <w:szCs w:val="21"/>
              </w:rPr>
              <w:t>课程的教学内容主要围绕Office办公软件展开，分为“计算机基础知识和Windows 7操作系统”、“</w:t>
            </w:r>
            <w:r>
              <w:rPr>
                <w:rFonts w:ascii="宋体" w:hAnsi="宋体" w:cs="宋体"/>
                <w:color w:val="auto"/>
                <w:kern w:val="0"/>
                <w:szCs w:val="21"/>
              </w:rPr>
              <w:t>W</w:t>
            </w:r>
            <w:r>
              <w:rPr>
                <w:rFonts w:hint="eastAsia" w:ascii="宋体" w:hAnsi="宋体" w:cs="宋体"/>
                <w:color w:val="auto"/>
                <w:kern w:val="0"/>
                <w:szCs w:val="21"/>
              </w:rPr>
              <w:t>ord文字处理”、 “</w:t>
            </w:r>
            <w:r>
              <w:rPr>
                <w:rFonts w:ascii="宋体" w:hAnsi="宋体" w:cs="宋体"/>
                <w:color w:val="auto"/>
                <w:kern w:val="0"/>
                <w:szCs w:val="21"/>
              </w:rPr>
              <w:t>E</w:t>
            </w:r>
            <w:r>
              <w:rPr>
                <w:rFonts w:hint="eastAsia" w:ascii="宋体" w:hAnsi="宋体" w:cs="宋体"/>
                <w:color w:val="auto"/>
                <w:kern w:val="0"/>
                <w:szCs w:val="21"/>
              </w:rPr>
              <w:t>xcel电子表格处理” “</w:t>
            </w:r>
            <w:r>
              <w:rPr>
                <w:rFonts w:ascii="宋体" w:hAnsi="宋体" w:cs="宋体"/>
                <w:color w:val="auto"/>
                <w:kern w:val="0"/>
                <w:szCs w:val="21"/>
              </w:rPr>
              <w:t>PowerPoint</w:t>
            </w:r>
            <w:r>
              <w:rPr>
                <w:rFonts w:hint="eastAsia" w:ascii="宋体" w:hAnsi="宋体" w:cs="宋体"/>
                <w:color w:val="auto"/>
                <w:kern w:val="0"/>
                <w:szCs w:val="21"/>
              </w:rPr>
              <w:t>演示文稿制作” 及“计算机网络基础及信息相关知识”五个模块，主要培养学生使用Word文字处理软件、Excel电子表格、PowerPoint制作演示文稿的能力，使学生具有使用计算机解决实际问题的能力，为学生使用计算机学习专业课，且为学生考取浙江省高校计算机一级证书打下基础。</w:t>
            </w:r>
          </w:p>
        </w:tc>
        <w:tc>
          <w:tcPr>
            <w:tcW w:w="2983" w:type="dxa"/>
            <w:vAlign w:val="center"/>
          </w:tcPr>
          <w:p>
            <w:pPr>
              <w:widowControl/>
              <w:spacing w:line="240" w:lineRule="atLeast"/>
              <w:jc w:val="left"/>
              <w:rPr>
                <w:rFonts w:ascii="宋体" w:hAnsi="宋体" w:cs="宋体"/>
                <w:color w:val="auto"/>
                <w:kern w:val="0"/>
                <w:szCs w:val="21"/>
                <w:u w:val="double"/>
              </w:rPr>
            </w:pPr>
            <w:r>
              <w:rPr>
                <w:rFonts w:hint="eastAsia" w:ascii="宋体" w:hAnsi="宋体" w:cs="宋体"/>
                <w:color w:val="auto"/>
                <w:kern w:val="0"/>
                <w:szCs w:val="21"/>
              </w:rPr>
              <w:t>紧紧以职业技术人才培养模式和等级考试为主导，以各专业对计算机的要求为基础，以Office办公软件应用为主线，以学生为主体，以项目和任务为载体，突出能力目标，构建“能力目标+项目任务+考试题库+理论知识”教学单元设计；采用分层分类教学、任务驱动、实例操作、理实一体的教学方法，设计“教、学、做”一体化的教学过程。围绕“能力提升”这一最终目标，在教学时边做边学和综合题库练习的教学过程中，学会解决实际问题的技能。</w:t>
            </w:r>
            <w:r>
              <w:rPr>
                <w:rFonts w:ascii="宋体" w:hAnsi="宋体" w:cs="宋体"/>
                <w:color w:val="auto"/>
                <w:kern w:val="0"/>
                <w:szCs w:val="21"/>
                <w:u w:val="doub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spacing w:line="240" w:lineRule="atLeas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w:t>
            </w:r>
          </w:p>
        </w:tc>
        <w:tc>
          <w:tcPr>
            <w:tcW w:w="1478" w:type="dxa"/>
            <w:vAlign w:val="center"/>
          </w:tcPr>
          <w:p>
            <w:pPr>
              <w:widowControl/>
              <w:spacing w:line="240" w:lineRule="atLeast"/>
              <w:rPr>
                <w:rFonts w:ascii="宋体" w:hAnsi="宋体"/>
                <w:color w:val="auto"/>
                <w:szCs w:val="21"/>
              </w:rPr>
            </w:pPr>
            <w:r>
              <w:rPr>
                <w:rFonts w:hint="eastAsia" w:ascii="宋体" w:hAnsi="宋体"/>
                <w:color w:val="auto"/>
                <w:szCs w:val="21"/>
              </w:rPr>
              <w:t xml:space="preserve">劳动、社团、公益活动等 </w:t>
            </w:r>
            <w:r>
              <w:rPr>
                <w:rFonts w:hint="eastAsia" w:ascii="宋体" w:hAnsi="宋体"/>
                <w:color w:val="auto"/>
                <w:szCs w:val="21"/>
              </w:rPr>
              <w:tab/>
            </w:r>
          </w:p>
        </w:tc>
        <w:tc>
          <w:tcPr>
            <w:tcW w:w="1080" w:type="dxa"/>
            <w:vAlign w:val="center"/>
          </w:tcPr>
          <w:p>
            <w:pPr>
              <w:widowControl/>
              <w:spacing w:line="240" w:lineRule="atLeast"/>
              <w:jc w:val="center"/>
              <w:rPr>
                <w:rFonts w:ascii="宋体" w:hAnsi="宋体" w:cs="宋体"/>
                <w:color w:val="auto"/>
                <w:kern w:val="0"/>
                <w:szCs w:val="21"/>
              </w:rPr>
            </w:pPr>
            <w:r>
              <w:rPr>
                <w:rFonts w:hint="eastAsia" w:ascii="宋体" w:hAnsi="宋体"/>
                <w:color w:val="auto"/>
                <w:szCs w:val="21"/>
              </w:rPr>
              <w:t>公共基础限选课</w:t>
            </w:r>
          </w:p>
        </w:tc>
        <w:tc>
          <w:tcPr>
            <w:tcW w:w="3027" w:type="dxa"/>
          </w:tcPr>
          <w:p>
            <w:pPr>
              <w:autoSpaceDE w:val="0"/>
              <w:autoSpaceDN w:val="0"/>
              <w:adjustRightInd w:val="0"/>
              <w:spacing w:line="240" w:lineRule="atLeast"/>
              <w:jc w:val="left"/>
              <w:rPr>
                <w:rFonts w:ascii="宋体" w:cs="宋体"/>
                <w:color w:val="auto"/>
                <w:kern w:val="0"/>
                <w:szCs w:val="21"/>
              </w:rPr>
            </w:pPr>
            <w:r>
              <w:rPr>
                <w:rFonts w:hint="eastAsia" w:ascii="宋体" w:cs="宋体"/>
                <w:color w:val="auto"/>
                <w:kern w:val="0"/>
                <w:szCs w:val="21"/>
              </w:rPr>
              <w:t>结合学校、环境、专业等因素，组织学生参加的各类社团、劳动和公益服务等实践活动，开展劳动观教育、团队意识教育、社会责任教育、劳动技能教育等。</w:t>
            </w:r>
          </w:p>
        </w:tc>
        <w:tc>
          <w:tcPr>
            <w:tcW w:w="2983" w:type="dxa"/>
          </w:tcPr>
          <w:p>
            <w:pPr>
              <w:autoSpaceDE w:val="0"/>
              <w:autoSpaceDN w:val="0"/>
              <w:adjustRightInd w:val="0"/>
              <w:spacing w:line="240" w:lineRule="atLeast"/>
              <w:jc w:val="left"/>
              <w:rPr>
                <w:rFonts w:ascii="宋体" w:cs="宋体"/>
                <w:color w:val="auto"/>
                <w:kern w:val="0"/>
                <w:szCs w:val="21"/>
              </w:rPr>
            </w:pPr>
            <w:r>
              <w:rPr>
                <w:rFonts w:hint="eastAsia" w:ascii="宋体" w:cs="宋体"/>
                <w:color w:val="auto"/>
                <w:kern w:val="0"/>
                <w:szCs w:val="21"/>
              </w:rPr>
              <w:t>对学生进行劳动教育，使教育与生产劳动相结合，使大学生能够更好地贯彻理论联系实际的原则，扩大知识面，增强工作责任感，团队意识，公益意识，促进学生全面健康地成长。</w:t>
            </w:r>
          </w:p>
        </w:tc>
      </w:tr>
    </w:tbl>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备注</w:t>
      </w:r>
      <w:r>
        <w:rPr>
          <w:color w:val="auto"/>
          <w:kern w:val="2"/>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（1）公共基础必修课、限选课由基础部、社科部、公体部根据课程所属完成表中信息填写。</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（2）全</w:t>
      </w:r>
      <w:r>
        <w:rPr>
          <w:color w:val="auto"/>
          <w:kern w:val="2"/>
        </w:rPr>
        <w:t>院性</w:t>
      </w:r>
      <w:r>
        <w:rPr>
          <w:rFonts w:hint="eastAsia"/>
          <w:color w:val="auto"/>
          <w:kern w:val="2"/>
        </w:rPr>
        <w:t>公共基础任选课由基础部负责制定，单独成表，不列入专业人才培养方案。</w:t>
      </w:r>
    </w:p>
    <w:p>
      <w:pPr>
        <w:pStyle w:val="7"/>
        <w:adjustRightInd w:val="0"/>
        <w:snapToGrid w:val="0"/>
        <w:spacing w:before="0" w:beforeAutospacing="0" w:after="0" w:afterAutospacing="0" w:line="500" w:lineRule="exact"/>
        <w:ind w:firstLine="480" w:firstLineChars="200"/>
        <w:jc w:val="both"/>
        <w:rPr>
          <w:color w:val="auto"/>
          <w:kern w:val="2"/>
        </w:rPr>
      </w:pPr>
      <w:r>
        <w:rPr>
          <w:color w:val="auto"/>
          <w:kern w:val="2"/>
        </w:rPr>
        <w:t>2.</w:t>
      </w:r>
      <w:r>
        <w:rPr>
          <w:rFonts w:hint="eastAsia"/>
          <w:color w:val="auto"/>
          <w:kern w:val="2"/>
        </w:rPr>
        <w:t>专业</w:t>
      </w:r>
      <w:r>
        <w:rPr>
          <w:color w:val="auto"/>
          <w:kern w:val="2"/>
        </w:rPr>
        <w:t>(技能)课</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专业</w:t>
      </w:r>
      <w:r>
        <w:rPr>
          <w:color w:val="auto"/>
          <w:kern w:val="2"/>
        </w:rPr>
        <w:t>(技能)课</w:t>
      </w:r>
      <w:r>
        <w:rPr>
          <w:rFonts w:hint="eastAsia"/>
          <w:color w:val="auto"/>
          <w:kern w:val="2"/>
        </w:rPr>
        <w:t>包</w:t>
      </w:r>
      <w:r>
        <w:rPr>
          <w:color w:val="auto"/>
          <w:kern w:val="2"/>
        </w:rPr>
        <w:t>括专业</w:t>
      </w:r>
      <w:r>
        <w:rPr>
          <w:rFonts w:hint="eastAsia"/>
          <w:color w:val="auto"/>
          <w:kern w:val="2"/>
        </w:rPr>
        <w:t>群</w:t>
      </w:r>
      <w:r>
        <w:rPr>
          <w:color w:val="auto"/>
          <w:kern w:val="2"/>
        </w:rPr>
        <w:t>平台课、专业</w:t>
      </w:r>
      <w:r>
        <w:rPr>
          <w:rFonts w:hint="eastAsia"/>
          <w:color w:val="auto"/>
          <w:kern w:val="2"/>
        </w:rPr>
        <w:t>基础</w:t>
      </w:r>
      <w:r>
        <w:rPr>
          <w:color w:val="auto"/>
          <w:kern w:val="2"/>
        </w:rPr>
        <w:t>课、专业</w:t>
      </w:r>
      <w:r>
        <w:rPr>
          <w:rFonts w:hint="eastAsia"/>
          <w:color w:val="auto"/>
          <w:kern w:val="2"/>
        </w:rPr>
        <w:t>课</w:t>
      </w:r>
      <w:r>
        <w:rPr>
          <w:color w:val="auto"/>
          <w:kern w:val="2"/>
        </w:rPr>
        <w:t>与</w:t>
      </w:r>
      <w:r>
        <w:rPr>
          <w:rFonts w:hint="eastAsia"/>
          <w:color w:val="auto"/>
          <w:kern w:val="2"/>
        </w:rPr>
        <w:t>专业</w:t>
      </w:r>
      <w:r>
        <w:rPr>
          <w:color w:val="auto"/>
          <w:kern w:val="2"/>
        </w:rPr>
        <w:t>拓展课（专业方向课）等。</w:t>
      </w:r>
    </w:p>
    <w:p>
      <w:pPr>
        <w:pStyle w:val="7"/>
        <w:adjustRightInd w:val="0"/>
        <w:snapToGrid w:val="0"/>
        <w:spacing w:before="0" w:beforeAutospacing="0" w:after="0" w:afterAutospacing="0" w:line="500" w:lineRule="exact"/>
        <w:jc w:val="center"/>
        <w:rPr>
          <w:color w:val="auto"/>
          <w:kern w:val="2"/>
        </w:rPr>
      </w:pPr>
      <w:r>
        <w:rPr>
          <w:color w:val="auto"/>
          <w:kern w:val="2"/>
        </w:rPr>
        <w:br w:type="page"/>
      </w:r>
      <w:r>
        <w:rPr>
          <w:rFonts w:hint="eastAsia"/>
          <w:color w:val="auto"/>
          <w:kern w:val="2"/>
        </w:rPr>
        <w:t xml:space="preserve">表5 </w:t>
      </w:r>
      <w:r>
        <w:rPr>
          <w:color w:val="auto"/>
          <w:kern w:val="2"/>
        </w:rPr>
        <w:t xml:space="preserve"> </w:t>
      </w:r>
      <w:r>
        <w:rPr>
          <w:rFonts w:hint="eastAsia"/>
          <w:color w:val="auto"/>
          <w:kern w:val="2"/>
        </w:rPr>
        <w:t>专业</w:t>
      </w:r>
      <w:r>
        <w:rPr>
          <w:color w:val="auto"/>
          <w:kern w:val="2"/>
        </w:rPr>
        <w:t>(技能)课的教学内容</w:t>
      </w:r>
      <w:r>
        <w:rPr>
          <w:rFonts w:hint="eastAsia"/>
          <w:color w:val="auto"/>
          <w:kern w:val="2"/>
        </w:rPr>
        <w:t>与</w:t>
      </w:r>
      <w:r>
        <w:rPr>
          <w:color w:val="auto"/>
          <w:kern w:val="2"/>
        </w:rPr>
        <w:t>要求</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05"/>
        <w:gridCol w:w="1355"/>
        <w:gridCol w:w="2126"/>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 w:val="24"/>
              </w:rPr>
            </w:pPr>
            <w:r>
              <w:rPr>
                <w:rFonts w:ascii="宋体" w:hAnsi="宋体" w:cs="宋体"/>
                <w:color w:val="auto"/>
                <w:kern w:val="0"/>
                <w:sz w:val="24"/>
              </w:rPr>
              <w:t>序号</w:t>
            </w:r>
          </w:p>
        </w:tc>
        <w:tc>
          <w:tcPr>
            <w:tcW w:w="1905" w:type="dxa"/>
            <w:vAlign w:val="center"/>
          </w:tcPr>
          <w:p>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课程名称</w:t>
            </w:r>
          </w:p>
        </w:tc>
        <w:tc>
          <w:tcPr>
            <w:tcW w:w="1355" w:type="dxa"/>
            <w:vAlign w:val="center"/>
          </w:tcPr>
          <w:p>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课程</w:t>
            </w:r>
            <w:r>
              <w:rPr>
                <w:rFonts w:ascii="宋体" w:hAnsi="宋体" w:cs="宋体"/>
                <w:color w:val="auto"/>
                <w:kern w:val="0"/>
                <w:sz w:val="24"/>
              </w:rPr>
              <w:t>类别</w:t>
            </w:r>
          </w:p>
        </w:tc>
        <w:tc>
          <w:tcPr>
            <w:tcW w:w="2126" w:type="dxa"/>
            <w:vAlign w:val="center"/>
          </w:tcPr>
          <w:p>
            <w:pPr>
              <w:widowControl/>
              <w:spacing w:line="240" w:lineRule="atLeast"/>
              <w:jc w:val="center"/>
              <w:rPr>
                <w:rFonts w:ascii="宋体" w:hAnsi="宋体" w:cs="宋体"/>
                <w:color w:val="auto"/>
                <w:kern w:val="0"/>
                <w:sz w:val="24"/>
              </w:rPr>
            </w:pPr>
            <w:r>
              <w:rPr>
                <w:rFonts w:ascii="宋体" w:hAnsi="宋体" w:cs="宋体"/>
                <w:color w:val="auto"/>
                <w:kern w:val="0"/>
                <w:sz w:val="24"/>
              </w:rPr>
              <w:t>主要教学内容</w:t>
            </w:r>
          </w:p>
        </w:tc>
        <w:tc>
          <w:tcPr>
            <w:tcW w:w="3322" w:type="dxa"/>
            <w:vAlign w:val="center"/>
          </w:tcPr>
          <w:p>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教学</w:t>
            </w:r>
            <w:r>
              <w:rPr>
                <w:rFonts w:ascii="宋体" w:hAnsi="宋体" w:cs="宋体"/>
                <w:color w:val="auto"/>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w:t>
            </w:r>
          </w:p>
        </w:tc>
        <w:tc>
          <w:tcPr>
            <w:tcW w:w="1905" w:type="dxa"/>
            <w:vAlign w:val="center"/>
          </w:tcPr>
          <w:p>
            <w:pPr>
              <w:spacing w:line="240" w:lineRule="atLeast"/>
              <w:jc w:val="left"/>
              <w:rPr>
                <w:color w:val="auto"/>
                <w:szCs w:val="21"/>
              </w:rPr>
            </w:pPr>
            <w:r>
              <w:rPr>
                <w:rFonts w:hint="eastAsia"/>
                <w:color w:val="auto"/>
                <w:szCs w:val="21"/>
              </w:rPr>
              <w:t>经济法基础</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群</w:t>
            </w:r>
            <w:r>
              <w:rPr>
                <w:rFonts w:ascii="宋体" w:hAnsi="宋体" w:cs="宋体"/>
                <w:color w:val="auto"/>
                <w:kern w:val="0"/>
                <w:szCs w:val="21"/>
              </w:rPr>
              <w:t>平台课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法律基础、会计法律制度、支付结算法律制度、税法基础知识、流转税法律制、所得税法律、其他法律制度、劳动相关法律制度等。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熟悉经济法在日常工作中的作用；让学生在具体的工作和生活中能够熟练应用相关法律或用法律的手段维护企业的权益。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w:t>
            </w:r>
          </w:p>
        </w:tc>
        <w:tc>
          <w:tcPr>
            <w:tcW w:w="1905" w:type="dxa"/>
            <w:vAlign w:val="center"/>
          </w:tcPr>
          <w:p>
            <w:pPr>
              <w:spacing w:line="240" w:lineRule="atLeast"/>
              <w:jc w:val="left"/>
              <w:rPr>
                <w:color w:val="auto"/>
                <w:szCs w:val="21"/>
              </w:rPr>
            </w:pPr>
            <w:r>
              <w:rPr>
                <w:rFonts w:hint="eastAsia" w:ascii="宋体" w:hAnsi="宋体"/>
                <w:color w:val="auto"/>
                <w:szCs w:val="21"/>
              </w:rPr>
              <w:t>财务会计*</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群</w:t>
            </w:r>
            <w:r>
              <w:rPr>
                <w:rFonts w:ascii="宋体" w:hAnsi="宋体" w:cs="宋体"/>
                <w:color w:val="auto"/>
                <w:kern w:val="0"/>
                <w:szCs w:val="21"/>
              </w:rPr>
              <w:t>平台课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职业引入，资产、负债、所有者权益、收入费用、利润等六大要素的会计核算和财务报表等。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熟悉企业会计核算内容及方法，具备企业基础业务的处理能力，掌握财务报表编制能力，具有会计助理职业能力和素养。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w:t>
            </w:r>
          </w:p>
        </w:tc>
        <w:tc>
          <w:tcPr>
            <w:tcW w:w="1905" w:type="dxa"/>
            <w:vAlign w:val="center"/>
          </w:tcPr>
          <w:p>
            <w:pPr>
              <w:spacing w:line="240" w:lineRule="atLeast"/>
              <w:jc w:val="left"/>
              <w:rPr>
                <w:rFonts w:ascii="宋体" w:hAnsi="宋体"/>
                <w:bCs/>
                <w:color w:val="auto"/>
                <w:szCs w:val="21"/>
              </w:rPr>
            </w:pPr>
            <w:r>
              <w:rPr>
                <w:rFonts w:hint="eastAsia" w:ascii="宋体" w:hAnsi="宋体" w:cs="Arial"/>
                <w:color w:val="auto"/>
                <w:szCs w:val="21"/>
              </w:rPr>
              <w:t>Excel</w:t>
            </w:r>
            <w:r>
              <w:rPr>
                <w:rFonts w:hint="eastAsia" w:ascii="Arial" w:hAnsi="Arial" w:cs="Arial"/>
                <w:color w:val="auto"/>
                <w:szCs w:val="21"/>
              </w:rPr>
              <w:t>在财会中的应用</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群</w:t>
            </w:r>
            <w:r>
              <w:rPr>
                <w:rFonts w:ascii="宋体" w:hAnsi="宋体" w:cs="宋体"/>
                <w:color w:val="auto"/>
                <w:kern w:val="0"/>
                <w:szCs w:val="21"/>
              </w:rPr>
              <w:t>平台课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Excel在会计、薪资管理、固定资产管理、进销存、财务分析、投资决策</w:t>
            </w:r>
            <w:r>
              <w:rPr>
                <w:rFonts w:ascii="宋体" w:hAnsi="宋体"/>
                <w:color w:val="auto"/>
                <w:kern w:val="10"/>
                <w:szCs w:val="21"/>
              </w:rPr>
              <w:t>、本量利分析</w:t>
            </w:r>
            <w:r>
              <w:rPr>
                <w:rFonts w:hint="eastAsia" w:ascii="宋体" w:hAnsi="宋体"/>
                <w:color w:val="auto"/>
                <w:kern w:val="10"/>
                <w:szCs w:val="21"/>
              </w:rPr>
              <w:t>中的应用等。</w:t>
            </w:r>
          </w:p>
        </w:tc>
        <w:tc>
          <w:tcPr>
            <w:tcW w:w="3322" w:type="dxa"/>
          </w:tcPr>
          <w:p>
            <w:pPr>
              <w:spacing w:line="240" w:lineRule="atLeast"/>
              <w:rPr>
                <w:rFonts w:ascii="宋体" w:hAnsi="宋体"/>
                <w:color w:val="auto"/>
                <w:kern w:val="10"/>
                <w:szCs w:val="21"/>
              </w:rPr>
            </w:pPr>
            <w:r>
              <w:rPr>
                <w:rFonts w:hint="eastAsia" w:ascii="宋体" w:hAnsi="宋体"/>
                <w:color w:val="auto"/>
                <w:kern w:val="10"/>
                <w:szCs w:val="21"/>
              </w:rPr>
              <w:t>了解、熟悉利用Excel建立常见基本经济模型，顺利完成烦琐而复杂的财务会计核算及管理工作，使工作效率和工作质量得以提高，为将来所服务的企业在竞争中创造优势。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4</w:t>
            </w:r>
          </w:p>
        </w:tc>
        <w:tc>
          <w:tcPr>
            <w:tcW w:w="1905" w:type="dxa"/>
            <w:vAlign w:val="center"/>
          </w:tcPr>
          <w:p>
            <w:pPr>
              <w:spacing w:line="240" w:lineRule="atLeast"/>
              <w:jc w:val="left"/>
              <w:rPr>
                <w:rFonts w:ascii="宋体" w:hAnsi="宋体"/>
                <w:color w:val="auto"/>
                <w:szCs w:val="21"/>
              </w:rPr>
            </w:pPr>
            <w:r>
              <w:rPr>
                <w:rFonts w:hint="eastAsia"/>
                <w:color w:val="auto"/>
                <w:szCs w:val="21"/>
              </w:rPr>
              <w:t>智能财务基础</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基础</w:t>
            </w:r>
            <w:r>
              <w:rPr>
                <w:rFonts w:ascii="宋体" w:hAnsi="宋体" w:cs="宋体"/>
                <w:color w:val="auto"/>
                <w:kern w:val="0"/>
                <w:szCs w:val="21"/>
              </w:rPr>
              <w:t>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会计目标、会计要素与会计等式、借贷记账法、会计凭证、会计账簿、财产清查、编制财务报表等。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以会计信息的传递为主线，</w:t>
            </w:r>
            <w:r>
              <w:rPr>
                <w:rFonts w:hint="eastAsia" w:ascii="宋体" w:hAnsi="宋体"/>
                <w:color w:val="auto"/>
                <w:kern w:val="10"/>
                <w:szCs w:val="21"/>
                <w:lang w:val="zh-Hans"/>
              </w:rPr>
              <w:t>掌握</w:t>
            </w:r>
            <w:r>
              <w:rPr>
                <w:rFonts w:hint="eastAsia" w:ascii="宋体" w:hAnsi="宋体"/>
                <w:color w:val="auto"/>
                <w:kern w:val="10"/>
                <w:szCs w:val="21"/>
                <w:lang w:val="zh-Hans" w:eastAsia="zh-Hans"/>
              </w:rPr>
              <w:t>会计核算、会计监督等岗位工作任务，具备一定的实践动手能力管理，树立正确的会计职业道德观。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5</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财政</w:t>
            </w:r>
            <w:r>
              <w:rPr>
                <w:rFonts w:ascii="宋体" w:hAnsi="宋体"/>
                <w:color w:val="auto"/>
                <w:szCs w:val="21"/>
              </w:rPr>
              <w:t>与金融</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基础</w:t>
            </w:r>
            <w:r>
              <w:rPr>
                <w:rFonts w:ascii="宋体" w:hAnsi="宋体" w:cs="宋体"/>
                <w:color w:val="auto"/>
                <w:kern w:val="0"/>
                <w:szCs w:val="21"/>
              </w:rPr>
              <w:t>课</w:t>
            </w:r>
          </w:p>
        </w:tc>
        <w:tc>
          <w:tcPr>
            <w:tcW w:w="2126" w:type="dxa"/>
          </w:tcPr>
          <w:p>
            <w:pPr>
              <w:spacing w:line="240" w:lineRule="atLeast"/>
              <w:rPr>
                <w:rFonts w:ascii="宋体" w:hAnsi="宋体" w:cs="宋体"/>
                <w:color w:val="auto"/>
                <w:kern w:val="0"/>
                <w:szCs w:val="21"/>
              </w:rPr>
            </w:pPr>
            <w:r>
              <w:rPr>
                <w:rFonts w:hint="eastAsia" w:ascii="宋体" w:hAnsi="宋体" w:cs="宋体"/>
                <w:color w:val="auto"/>
                <w:kern w:val="10"/>
                <w:szCs w:val="21"/>
              </w:rPr>
              <w:t>财政</w:t>
            </w:r>
            <w:r>
              <w:rPr>
                <w:rFonts w:ascii="宋体" w:hAnsi="宋体" w:cs="宋体"/>
                <w:color w:val="auto"/>
                <w:kern w:val="10"/>
                <w:szCs w:val="21"/>
              </w:rPr>
              <w:t>模块：</w:t>
            </w:r>
            <w:r>
              <w:rPr>
                <w:rFonts w:hint="eastAsia" w:ascii="宋体" w:hAnsi="宋体" w:cs="宋体"/>
                <w:color w:val="auto"/>
                <w:kern w:val="10"/>
                <w:szCs w:val="21"/>
              </w:rPr>
              <w:t>财政导论、</w:t>
            </w:r>
            <w:r>
              <w:rPr>
                <w:rFonts w:ascii="宋体" w:hAnsi="宋体" w:cs="宋体"/>
                <w:color w:val="auto"/>
                <w:kern w:val="10"/>
                <w:szCs w:val="21"/>
              </w:rPr>
              <w:t>财政支出、</w:t>
            </w:r>
            <w:r>
              <w:rPr>
                <w:rFonts w:hint="eastAsia" w:ascii="宋体" w:hAnsi="宋体" w:cs="宋体"/>
                <w:color w:val="auto"/>
                <w:kern w:val="10"/>
                <w:szCs w:val="21"/>
              </w:rPr>
              <w:t>财政</w:t>
            </w:r>
            <w:r>
              <w:rPr>
                <w:rFonts w:ascii="宋体" w:hAnsi="宋体" w:cs="宋体"/>
                <w:color w:val="auto"/>
                <w:kern w:val="10"/>
                <w:szCs w:val="21"/>
              </w:rPr>
              <w:t>收入、</w:t>
            </w:r>
            <w:r>
              <w:rPr>
                <w:rFonts w:hint="eastAsia" w:ascii="宋体" w:hAnsi="宋体" w:cs="宋体"/>
                <w:color w:val="auto"/>
                <w:kern w:val="10"/>
                <w:szCs w:val="21"/>
              </w:rPr>
              <w:t>政府预算、财政体制等；金融</w:t>
            </w:r>
            <w:r>
              <w:rPr>
                <w:rFonts w:ascii="宋体" w:hAnsi="宋体" w:cs="宋体"/>
                <w:color w:val="auto"/>
                <w:kern w:val="10"/>
                <w:szCs w:val="21"/>
              </w:rPr>
              <w:t>模块：</w:t>
            </w:r>
            <w:r>
              <w:rPr>
                <w:rFonts w:hint="eastAsia"/>
                <w:color w:val="auto"/>
                <w:kern w:val="10"/>
                <w:szCs w:val="21"/>
              </w:rPr>
              <w:t>金融导论、金融机构、金融市场、货币供求、国际金融、</w:t>
            </w:r>
            <w:r>
              <w:rPr>
                <w:rFonts w:hint="eastAsia" w:ascii="宋体" w:hAnsi="宋体" w:cs="宋体"/>
                <w:color w:val="auto"/>
                <w:kern w:val="10"/>
                <w:szCs w:val="21"/>
              </w:rPr>
              <w:t>财政政策与货币政策等。</w:t>
            </w:r>
          </w:p>
        </w:tc>
        <w:tc>
          <w:tcPr>
            <w:tcW w:w="3322" w:type="dxa"/>
          </w:tcPr>
          <w:p>
            <w:pPr>
              <w:spacing w:line="240" w:lineRule="atLeast"/>
              <w:rPr>
                <w:rFonts w:ascii="宋体" w:hAnsi="宋体" w:cs="宋体"/>
                <w:color w:val="auto"/>
                <w:kern w:val="10"/>
                <w:szCs w:val="21"/>
              </w:rPr>
            </w:pPr>
            <w:r>
              <w:rPr>
                <w:rFonts w:hint="eastAsia" w:ascii="宋体" w:hAnsi="宋体" w:cs="宋体"/>
                <w:color w:val="auto"/>
                <w:kern w:val="10"/>
                <w:szCs w:val="21"/>
              </w:rPr>
              <w:t>掌握财政学和金融学的相关原理理论，具有对相关经济现象和财政、金融政策的判断、分析能力，养成财经工作人员的职业素养和工作作风。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6</w:t>
            </w:r>
          </w:p>
        </w:tc>
        <w:tc>
          <w:tcPr>
            <w:tcW w:w="1905" w:type="dxa"/>
            <w:vAlign w:val="center"/>
          </w:tcPr>
          <w:p>
            <w:pPr>
              <w:spacing w:line="240" w:lineRule="atLeast"/>
              <w:jc w:val="left"/>
              <w:rPr>
                <w:rFonts w:ascii="宋体" w:hAnsi="宋体"/>
                <w:bCs/>
                <w:color w:val="auto"/>
                <w:szCs w:val="21"/>
              </w:rPr>
            </w:pPr>
            <w:r>
              <w:rPr>
                <w:rFonts w:hint="eastAsia" w:ascii="宋体" w:hAnsi="宋体" w:cs="MS Mincho"/>
                <w:color w:val="auto"/>
                <w:szCs w:val="21"/>
              </w:rPr>
              <w:t>工程项目数字化管理</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基础</w:t>
            </w:r>
            <w:r>
              <w:rPr>
                <w:rFonts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color w:val="auto"/>
                <w:szCs w:val="21"/>
              </w:rPr>
              <w:t>投标管理、立项管理、合同管理、进度管理、成本管理、产值管理、分包管理、资金管理、设备物资管理、安全质量管理等在业税财平台的运用。</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熟悉工程项目全过程管理的内容和方法，具备对工程项目数字化管理的能力。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7</w:t>
            </w:r>
          </w:p>
        </w:tc>
        <w:tc>
          <w:tcPr>
            <w:tcW w:w="1905" w:type="dxa"/>
            <w:vAlign w:val="center"/>
          </w:tcPr>
          <w:p>
            <w:pPr>
              <w:spacing w:line="240" w:lineRule="atLeast"/>
              <w:jc w:val="left"/>
              <w:rPr>
                <w:rFonts w:ascii="宋体" w:hAnsi="宋体" w:cs="MS Mincho"/>
                <w:color w:val="auto"/>
                <w:szCs w:val="21"/>
              </w:rPr>
            </w:pPr>
            <w:r>
              <w:rPr>
                <w:rFonts w:hint="eastAsia" w:ascii="宋体" w:hAnsi="宋体" w:cs="MS Mincho"/>
                <w:color w:val="auto"/>
                <w:szCs w:val="21"/>
              </w:rPr>
              <w:t>共享</w:t>
            </w:r>
            <w:r>
              <w:rPr>
                <w:rFonts w:ascii="宋体" w:hAnsi="宋体" w:cs="MS Mincho"/>
                <w:color w:val="auto"/>
                <w:szCs w:val="21"/>
              </w:rPr>
              <w:t>财务岗位认知</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基础</w:t>
            </w:r>
            <w:r>
              <w:rPr>
                <w:rFonts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通过</w:t>
            </w:r>
            <w:r>
              <w:rPr>
                <w:rFonts w:ascii="宋体" w:hAnsi="宋体" w:cs="宋体"/>
                <w:color w:val="auto"/>
                <w:kern w:val="0"/>
                <w:szCs w:val="21"/>
              </w:rPr>
              <w:t>调查，认知</w:t>
            </w:r>
            <w:r>
              <w:rPr>
                <w:rFonts w:hint="eastAsia" w:ascii="宋体" w:hAnsi="宋体" w:cs="宋体"/>
                <w:color w:val="auto"/>
                <w:kern w:val="0"/>
                <w:szCs w:val="21"/>
              </w:rPr>
              <w:t>财务</w:t>
            </w:r>
            <w:r>
              <w:rPr>
                <w:rFonts w:ascii="宋体" w:hAnsi="宋体" w:cs="宋体"/>
                <w:color w:val="auto"/>
                <w:kern w:val="0"/>
                <w:szCs w:val="21"/>
              </w:rPr>
              <w:t>共享企业出纳</w:t>
            </w:r>
            <w:r>
              <w:rPr>
                <w:rFonts w:hint="eastAsia" w:ascii="宋体" w:hAnsi="宋体" w:cs="宋体"/>
                <w:color w:val="auto"/>
                <w:kern w:val="0"/>
                <w:szCs w:val="21"/>
              </w:rPr>
              <w:t>、会计岗位</w:t>
            </w:r>
            <w:r>
              <w:rPr>
                <w:rFonts w:ascii="宋体" w:hAnsi="宋体" w:cs="宋体"/>
                <w:color w:val="auto"/>
                <w:kern w:val="0"/>
                <w:szCs w:val="21"/>
              </w:rPr>
              <w:t>的</w:t>
            </w:r>
            <w:r>
              <w:rPr>
                <w:rFonts w:hint="eastAsia" w:ascii="宋体" w:hAnsi="宋体" w:cs="宋体"/>
                <w:color w:val="auto"/>
                <w:kern w:val="0"/>
                <w:szCs w:val="21"/>
              </w:rPr>
              <w:t>工作</w:t>
            </w:r>
            <w:r>
              <w:rPr>
                <w:rFonts w:ascii="宋体" w:hAnsi="宋体" w:cs="宋体"/>
                <w:color w:val="auto"/>
                <w:kern w:val="0"/>
                <w:szCs w:val="21"/>
              </w:rPr>
              <w:t>职责、</w:t>
            </w:r>
            <w:r>
              <w:rPr>
                <w:rFonts w:hint="eastAsia" w:ascii="宋体" w:hAnsi="宋体" w:cs="宋体"/>
                <w:color w:val="auto"/>
                <w:kern w:val="0"/>
                <w:szCs w:val="21"/>
              </w:rPr>
              <w:t>工作技能</w:t>
            </w:r>
            <w:r>
              <w:rPr>
                <w:rFonts w:ascii="宋体" w:hAnsi="宋体" w:cs="宋体"/>
                <w:color w:val="auto"/>
                <w:kern w:val="0"/>
                <w:szCs w:val="21"/>
              </w:rPr>
              <w:t>要求、岗位价值等。</w:t>
            </w:r>
          </w:p>
        </w:tc>
        <w:tc>
          <w:tcPr>
            <w:tcW w:w="3322" w:type="dxa"/>
          </w:tcPr>
          <w:p>
            <w:pPr>
              <w:widowControl/>
              <w:spacing w:line="240" w:lineRule="atLeast"/>
              <w:rPr>
                <w:rFonts w:ascii="宋体" w:hAnsi="宋体" w:cs="宋体"/>
                <w:color w:val="auto"/>
                <w:kern w:val="0"/>
                <w:szCs w:val="21"/>
              </w:rPr>
            </w:pPr>
            <w:r>
              <w:rPr>
                <w:rFonts w:hint="eastAsia" w:ascii="宋体" w:hAnsi="宋体"/>
                <w:color w:val="auto"/>
                <w:kern w:val="10"/>
                <w:szCs w:val="21"/>
              </w:rPr>
              <w:t>熟悉</w:t>
            </w:r>
            <w:r>
              <w:rPr>
                <w:rFonts w:ascii="宋体" w:hAnsi="宋体"/>
                <w:color w:val="auto"/>
                <w:kern w:val="10"/>
                <w:szCs w:val="21"/>
              </w:rPr>
              <w:t>共享财务岗位工作职责</w:t>
            </w:r>
            <w:r>
              <w:rPr>
                <w:rFonts w:hint="eastAsia" w:ascii="宋体" w:hAnsi="宋体"/>
                <w:color w:val="auto"/>
                <w:kern w:val="10"/>
                <w:szCs w:val="21"/>
              </w:rPr>
              <w:t>、</w:t>
            </w:r>
            <w:r>
              <w:rPr>
                <w:rFonts w:ascii="宋体" w:hAnsi="宋体"/>
                <w:color w:val="auto"/>
                <w:kern w:val="10"/>
                <w:szCs w:val="21"/>
              </w:rPr>
              <w:t>工作技能要求、岗位价值等内容，</w:t>
            </w:r>
            <w:r>
              <w:rPr>
                <w:rFonts w:hint="eastAsia" w:ascii="宋体" w:hAnsi="宋体"/>
                <w:color w:val="auto"/>
                <w:kern w:val="10"/>
                <w:szCs w:val="21"/>
              </w:rPr>
              <w:t>具备共享财务岗位职业技能和职业素养，具有创新精神与团队意识，使其能够适应共享财务岗位的工作要求完成出纳、会计相关岗位工作任务，提高学生的动手能力和实践能力。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8</w:t>
            </w:r>
          </w:p>
        </w:tc>
        <w:tc>
          <w:tcPr>
            <w:tcW w:w="1905" w:type="dxa"/>
            <w:vAlign w:val="center"/>
          </w:tcPr>
          <w:p>
            <w:pPr>
              <w:spacing w:line="240" w:lineRule="atLeast"/>
              <w:jc w:val="left"/>
              <w:rPr>
                <w:rFonts w:ascii="宋体" w:hAnsi="宋体" w:cs="MS Mincho"/>
                <w:color w:val="auto"/>
                <w:szCs w:val="21"/>
              </w:rPr>
            </w:pPr>
            <w:r>
              <w:rPr>
                <w:rFonts w:hint="eastAsia" w:ascii="宋体" w:hAnsi="宋体" w:cs="MS Mincho"/>
                <w:color w:val="auto"/>
                <w:szCs w:val="21"/>
              </w:rPr>
              <w:t>管理</w:t>
            </w:r>
            <w:r>
              <w:rPr>
                <w:rFonts w:ascii="宋体" w:hAnsi="宋体" w:cs="MS Mincho"/>
                <w:color w:val="auto"/>
                <w:szCs w:val="21"/>
              </w:rPr>
              <w:t>财务岗位认知</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基础</w:t>
            </w:r>
            <w:r>
              <w:rPr>
                <w:rFonts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通过</w:t>
            </w:r>
            <w:r>
              <w:rPr>
                <w:rFonts w:ascii="宋体" w:hAnsi="宋体" w:cs="宋体"/>
                <w:color w:val="auto"/>
                <w:kern w:val="0"/>
                <w:szCs w:val="21"/>
              </w:rPr>
              <w:t>调查，认知</w:t>
            </w:r>
            <w:r>
              <w:rPr>
                <w:rFonts w:hint="eastAsia" w:ascii="宋体" w:hAnsi="宋体" w:cs="宋体"/>
                <w:color w:val="auto"/>
                <w:kern w:val="0"/>
                <w:szCs w:val="21"/>
              </w:rPr>
              <w:t>营运</w:t>
            </w:r>
            <w:r>
              <w:rPr>
                <w:rFonts w:ascii="宋体" w:hAnsi="宋体" w:cs="宋体"/>
                <w:color w:val="auto"/>
                <w:kern w:val="0"/>
                <w:szCs w:val="21"/>
              </w:rPr>
              <w:t>管理、成本管理、</w:t>
            </w:r>
            <w:r>
              <w:rPr>
                <w:rFonts w:hint="eastAsia" w:ascii="宋体" w:hAnsi="宋体" w:cs="宋体"/>
                <w:color w:val="auto"/>
                <w:kern w:val="0"/>
                <w:szCs w:val="21"/>
              </w:rPr>
              <w:t>纳税</w:t>
            </w:r>
            <w:r>
              <w:rPr>
                <w:rFonts w:ascii="宋体" w:hAnsi="宋体" w:cs="宋体"/>
                <w:color w:val="auto"/>
                <w:kern w:val="0"/>
                <w:szCs w:val="21"/>
              </w:rPr>
              <w:t>管理等岗位</w:t>
            </w:r>
            <w:r>
              <w:rPr>
                <w:rFonts w:hint="eastAsia" w:ascii="宋体" w:hAnsi="宋体" w:cs="宋体"/>
                <w:color w:val="auto"/>
                <w:kern w:val="0"/>
                <w:szCs w:val="21"/>
              </w:rPr>
              <w:t>工作职责</w:t>
            </w:r>
            <w:r>
              <w:rPr>
                <w:rFonts w:ascii="宋体" w:hAnsi="宋体" w:cs="宋体"/>
                <w:color w:val="auto"/>
                <w:kern w:val="0"/>
                <w:szCs w:val="21"/>
              </w:rPr>
              <w:t>和工作流程</w:t>
            </w:r>
            <w:r>
              <w:rPr>
                <w:rFonts w:hint="eastAsia" w:ascii="宋体" w:hAnsi="宋体" w:cs="宋体"/>
                <w:color w:val="auto"/>
                <w:kern w:val="0"/>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w:t>
            </w:r>
            <w:r>
              <w:rPr>
                <w:rFonts w:ascii="宋体" w:hAnsi="宋体" w:cs="宋体"/>
                <w:color w:val="auto"/>
                <w:kern w:val="0"/>
                <w:szCs w:val="21"/>
              </w:rPr>
              <w:t>财务管理活动的主要内容，熟悉营运管理、成本管理、纳税管理等常见岗位的</w:t>
            </w:r>
            <w:r>
              <w:rPr>
                <w:rFonts w:hint="eastAsia" w:ascii="宋体" w:hAnsi="宋体" w:cs="宋体"/>
                <w:color w:val="auto"/>
                <w:kern w:val="0"/>
                <w:szCs w:val="21"/>
              </w:rPr>
              <w:t>工作职责</w:t>
            </w:r>
            <w:r>
              <w:rPr>
                <w:rFonts w:ascii="宋体" w:hAnsi="宋体" w:cs="宋体"/>
                <w:color w:val="auto"/>
                <w:kern w:val="0"/>
                <w:szCs w:val="21"/>
              </w:rPr>
              <w:t>和工作</w:t>
            </w:r>
            <w:r>
              <w:rPr>
                <w:rFonts w:hint="eastAsia" w:ascii="宋体" w:hAnsi="宋体" w:cs="宋体"/>
                <w:color w:val="auto"/>
                <w:kern w:val="0"/>
                <w:szCs w:val="21"/>
              </w:rPr>
              <w:t>流程</w:t>
            </w:r>
            <w:r>
              <w:rPr>
                <w:rFonts w:ascii="宋体" w:hAnsi="宋体" w:cs="宋体"/>
                <w:color w:val="auto"/>
                <w:kern w:val="0"/>
                <w:szCs w:val="21"/>
              </w:rPr>
              <w:t>，</w:t>
            </w:r>
            <w:r>
              <w:rPr>
                <w:rFonts w:hint="eastAsia" w:ascii="宋体" w:hAnsi="宋体"/>
                <w:color w:val="auto"/>
                <w:kern w:val="10"/>
                <w:szCs w:val="21"/>
              </w:rPr>
              <w:t>熟悉</w:t>
            </w:r>
            <w:r>
              <w:rPr>
                <w:rFonts w:ascii="宋体" w:hAnsi="宋体"/>
                <w:color w:val="auto"/>
                <w:kern w:val="10"/>
                <w:szCs w:val="21"/>
              </w:rPr>
              <w:t>岗位工作技能要求，</w:t>
            </w:r>
            <w:r>
              <w:rPr>
                <w:rFonts w:ascii="宋体" w:hAnsi="宋体" w:cs="宋体"/>
                <w:color w:val="auto"/>
                <w:kern w:val="0"/>
                <w:szCs w:val="21"/>
              </w:rPr>
              <w:t>具备管理财务人员基本的岗位职业素养。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9</w:t>
            </w:r>
          </w:p>
        </w:tc>
        <w:tc>
          <w:tcPr>
            <w:tcW w:w="1905" w:type="dxa"/>
            <w:vAlign w:val="center"/>
          </w:tcPr>
          <w:p>
            <w:pPr>
              <w:spacing w:line="240" w:lineRule="atLeast"/>
              <w:jc w:val="left"/>
              <w:rPr>
                <w:rFonts w:ascii="宋体" w:hAnsi="宋体" w:cs="MS Mincho"/>
                <w:color w:val="auto"/>
                <w:szCs w:val="21"/>
              </w:rPr>
            </w:pPr>
            <w:r>
              <w:rPr>
                <w:rFonts w:hint="eastAsia" w:ascii="宋体" w:hAnsi="宋体"/>
                <w:color w:val="auto"/>
                <w:szCs w:val="21"/>
              </w:rPr>
              <w:t>数据库技术财务应用</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常用数据库系统的基本概念、基本原理和基本技术；</w:t>
            </w:r>
            <w:r>
              <w:rPr>
                <w:rFonts w:hint="eastAsia" w:ascii="宋体" w:hAnsi="宋体"/>
                <w:color w:val="auto"/>
                <w:kern w:val="10"/>
                <w:szCs w:val="21"/>
              </w:rPr>
              <w:t>常用数据库在财务应用中的具体操作方法、技巧等。</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认知常用数据库，掌握数据库的操作方法和技巧，</w:t>
            </w:r>
            <w:r>
              <w:rPr>
                <w:rFonts w:hint="eastAsia" w:ascii="宋体" w:hAnsi="宋体"/>
                <w:color w:val="auto"/>
                <w:kern w:val="10"/>
                <w:szCs w:val="21"/>
              </w:rPr>
              <w:t>具备常用数据库在财务中的应用能力。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10</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智能</w:t>
            </w:r>
            <w:r>
              <w:rPr>
                <w:rFonts w:ascii="宋体" w:hAnsi="宋体"/>
                <w:color w:val="auto"/>
                <w:szCs w:val="21"/>
              </w:rPr>
              <w:t>财务应用</w:t>
            </w:r>
            <w:r>
              <w:rPr>
                <w:rFonts w:hint="eastAsia" w:ascii="宋体" w:hAnsi="宋体"/>
                <w:color w:val="auto"/>
                <w:szCs w:val="21"/>
              </w:rPr>
              <w:t>（Ⅰ）*</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olor w:val="auto"/>
                <w:kern w:val="10"/>
                <w:szCs w:val="21"/>
              </w:rPr>
              <w:t>系统管理、总账管理、报表管理系统、薪资管理、固定资产管理等。</w:t>
            </w:r>
          </w:p>
        </w:tc>
        <w:tc>
          <w:tcPr>
            <w:tcW w:w="3322" w:type="dxa"/>
          </w:tcPr>
          <w:p>
            <w:pPr>
              <w:widowControl/>
              <w:spacing w:line="240" w:lineRule="atLeast"/>
              <w:rPr>
                <w:rFonts w:ascii="宋体" w:hAnsi="宋体" w:cs="宋体"/>
                <w:color w:val="auto"/>
                <w:kern w:val="0"/>
                <w:szCs w:val="21"/>
              </w:rPr>
            </w:pPr>
            <w:r>
              <w:rPr>
                <w:rFonts w:hint="eastAsia" w:ascii="宋体" w:hAnsi="宋体"/>
                <w:color w:val="auto"/>
                <w:kern w:val="10"/>
                <w:szCs w:val="21"/>
              </w:rPr>
              <w:t>掌握企业会计信息系统分析与设计的基本原理，能够熟练完成会计软件各</w:t>
            </w:r>
            <w:r>
              <w:rPr>
                <w:rFonts w:ascii="宋体" w:hAnsi="宋体"/>
                <w:color w:val="auto"/>
                <w:kern w:val="10"/>
                <w:szCs w:val="21"/>
              </w:rPr>
              <w:t>子系统操作，具备</w:t>
            </w:r>
            <w:r>
              <w:rPr>
                <w:rFonts w:hint="eastAsia" w:ascii="宋体" w:hAnsi="宋体"/>
                <w:color w:val="auto"/>
                <w:kern w:val="10"/>
                <w:szCs w:val="21"/>
              </w:rPr>
              <w:t>会计</w:t>
            </w:r>
            <w:r>
              <w:rPr>
                <w:rFonts w:ascii="宋体" w:hAnsi="宋体"/>
                <w:color w:val="auto"/>
                <w:kern w:val="10"/>
                <w:szCs w:val="21"/>
              </w:rPr>
              <w:t>信息化工作素养。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11</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Python技术财务应用</w:t>
            </w:r>
          </w:p>
        </w:tc>
        <w:tc>
          <w:tcPr>
            <w:tcW w:w="1355" w:type="dxa"/>
            <w:vAlign w:val="center"/>
          </w:tcPr>
          <w:p>
            <w:pPr>
              <w:widowControl/>
              <w:spacing w:line="240" w:lineRule="atLeast"/>
              <w:jc w:val="center"/>
              <w:rPr>
                <w:rFonts w:ascii="宋体" w:hAnsi="宋体" w:cs="宋体"/>
                <w:color w:val="auto"/>
                <w:kern w:val="0"/>
                <w:szCs w:val="21"/>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outlineLvl w:val="0"/>
              <w:rPr>
                <w:rFonts w:ascii="宋体" w:hAnsi="宋体"/>
                <w:color w:val="auto"/>
                <w:kern w:val="10"/>
                <w:szCs w:val="21"/>
              </w:rPr>
            </w:pPr>
            <w:r>
              <w:rPr>
                <w:rFonts w:hint="eastAsia" w:ascii="宋体" w:hAnsi="宋体" w:cs="宋体"/>
                <w:color w:val="auto"/>
                <w:kern w:val="0"/>
                <w:szCs w:val="21"/>
              </w:rPr>
              <w:t>Python</w:t>
            </w:r>
            <w:r>
              <w:rPr>
                <w:rFonts w:hint="eastAsia" w:ascii="Tahoma" w:hAnsi="Tahoma" w:cs="Tahoma"/>
                <w:color w:val="auto"/>
                <w:szCs w:val="21"/>
                <w:shd w:val="clear" w:color="auto" w:fill="FFFFFF"/>
              </w:rPr>
              <w:t>技术</w:t>
            </w:r>
            <w:r>
              <w:rPr>
                <w:rFonts w:ascii="Tahoma" w:hAnsi="Tahoma" w:cs="Tahoma"/>
                <w:color w:val="auto"/>
                <w:szCs w:val="21"/>
                <w:shd w:val="clear" w:color="auto" w:fill="FFFFFF"/>
              </w:rPr>
              <w:t>软件的基本概念、基本方法，</w:t>
            </w:r>
            <w:r>
              <w:rPr>
                <w:rFonts w:hint="eastAsia" w:ascii="宋体" w:hAnsi="宋体" w:cs="宋体"/>
                <w:color w:val="auto"/>
                <w:kern w:val="0"/>
                <w:szCs w:val="21"/>
              </w:rPr>
              <w:t>Python</w:t>
            </w:r>
            <w:r>
              <w:rPr>
                <w:rFonts w:hint="eastAsia" w:ascii="Tahoma" w:hAnsi="Tahoma" w:cs="Tahoma"/>
                <w:color w:val="auto"/>
                <w:szCs w:val="21"/>
                <w:shd w:val="clear" w:color="auto" w:fill="FFFFFF"/>
              </w:rPr>
              <w:t>技术在财务会计、财务管理</w:t>
            </w:r>
            <w:r>
              <w:rPr>
                <w:rFonts w:ascii="Tahoma" w:hAnsi="Tahoma" w:cs="Tahoma"/>
                <w:color w:val="auto"/>
                <w:szCs w:val="21"/>
                <w:shd w:val="clear" w:color="auto" w:fill="FFFFFF"/>
              </w:rPr>
              <w:t>中的</w:t>
            </w:r>
            <w:r>
              <w:rPr>
                <w:rFonts w:hint="eastAsia" w:ascii="Tahoma" w:hAnsi="Tahoma" w:cs="Tahoma"/>
                <w:color w:val="auto"/>
                <w:szCs w:val="21"/>
                <w:shd w:val="clear" w:color="auto" w:fill="FFFFFF"/>
              </w:rPr>
              <w:t>应用方法。</w:t>
            </w:r>
          </w:p>
        </w:tc>
        <w:tc>
          <w:tcPr>
            <w:tcW w:w="3322" w:type="dxa"/>
          </w:tcPr>
          <w:p>
            <w:pPr>
              <w:widowControl/>
              <w:spacing w:line="240" w:lineRule="atLeast"/>
              <w:outlineLvl w:val="0"/>
              <w:rPr>
                <w:rFonts w:ascii="宋体" w:hAnsi="宋体"/>
                <w:color w:val="auto"/>
                <w:kern w:val="10"/>
                <w:szCs w:val="21"/>
              </w:rPr>
            </w:pPr>
            <w:r>
              <w:rPr>
                <w:rFonts w:hint="eastAsia" w:ascii="宋体" w:hAnsi="宋体"/>
                <w:color w:val="auto"/>
                <w:kern w:val="10"/>
                <w:szCs w:val="21"/>
              </w:rPr>
              <w:t>熟悉</w:t>
            </w:r>
            <w:r>
              <w:rPr>
                <w:rFonts w:hint="eastAsia" w:ascii="宋体" w:hAnsi="宋体" w:cs="宋体"/>
                <w:color w:val="auto"/>
                <w:kern w:val="0"/>
                <w:szCs w:val="21"/>
              </w:rPr>
              <w:t>Python</w:t>
            </w:r>
            <w:r>
              <w:rPr>
                <w:rFonts w:hint="eastAsia" w:ascii="Tahoma" w:hAnsi="Tahoma" w:cs="Tahoma"/>
                <w:color w:val="auto"/>
                <w:szCs w:val="21"/>
                <w:shd w:val="clear" w:color="auto" w:fill="FFFFFF"/>
              </w:rPr>
              <w:t>技术</w:t>
            </w:r>
            <w:r>
              <w:rPr>
                <w:rFonts w:ascii="Tahoma" w:hAnsi="Tahoma" w:cs="Tahoma"/>
                <w:color w:val="auto"/>
                <w:szCs w:val="21"/>
                <w:shd w:val="clear" w:color="auto" w:fill="FFFFFF"/>
              </w:rPr>
              <w:t>软件</w:t>
            </w:r>
            <w:r>
              <w:rPr>
                <w:rFonts w:hint="eastAsia" w:ascii="Tahoma" w:hAnsi="Tahoma" w:cs="Tahoma"/>
                <w:color w:val="auto"/>
                <w:szCs w:val="21"/>
                <w:shd w:val="clear" w:color="auto" w:fill="FFFFFF"/>
              </w:rPr>
              <w:t>基本操作，掌握</w:t>
            </w:r>
            <w:r>
              <w:rPr>
                <w:rFonts w:hint="eastAsia" w:ascii="宋体" w:hAnsi="宋体" w:cs="宋体"/>
                <w:color w:val="auto"/>
                <w:kern w:val="0"/>
                <w:szCs w:val="21"/>
              </w:rPr>
              <w:t>Python</w:t>
            </w:r>
            <w:r>
              <w:rPr>
                <w:rFonts w:hint="eastAsia" w:ascii="Tahoma" w:hAnsi="Tahoma" w:cs="Tahoma"/>
                <w:color w:val="auto"/>
                <w:szCs w:val="21"/>
                <w:shd w:val="clear" w:color="auto" w:fill="FFFFFF"/>
              </w:rPr>
              <w:t>技术在财务会计</w:t>
            </w:r>
            <w:r>
              <w:rPr>
                <w:rFonts w:ascii="Tahoma" w:hAnsi="Tahoma" w:cs="Tahoma"/>
                <w:color w:val="auto"/>
                <w:szCs w:val="21"/>
                <w:shd w:val="clear" w:color="auto" w:fill="FFFFFF"/>
              </w:rPr>
              <w:t>和财务管理中的实务</w:t>
            </w:r>
            <w:r>
              <w:rPr>
                <w:rFonts w:hint="eastAsia" w:ascii="Tahoma" w:hAnsi="Tahoma" w:cs="Tahoma"/>
                <w:color w:val="auto"/>
                <w:szCs w:val="21"/>
                <w:shd w:val="clear" w:color="auto" w:fill="FFFFFF"/>
              </w:rPr>
              <w:t>应用操作技能。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12</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智能</w:t>
            </w:r>
            <w:r>
              <w:rPr>
                <w:rFonts w:ascii="宋体" w:hAnsi="宋体"/>
                <w:color w:val="auto"/>
                <w:szCs w:val="21"/>
              </w:rPr>
              <w:t>财务应用</w:t>
            </w:r>
            <w:r>
              <w:rPr>
                <w:rFonts w:hint="eastAsia" w:ascii="宋体" w:hAnsi="宋体"/>
                <w:color w:val="auto"/>
                <w:szCs w:val="21"/>
              </w:rPr>
              <w:t>（Ⅱ）*</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olor w:val="auto"/>
                <w:kern w:val="10"/>
                <w:szCs w:val="21"/>
              </w:rPr>
              <w:t>采购与应付、销售与应收、库存管理、存货管理等。</w:t>
            </w:r>
          </w:p>
        </w:tc>
        <w:tc>
          <w:tcPr>
            <w:tcW w:w="3322" w:type="dxa"/>
          </w:tcPr>
          <w:p>
            <w:pPr>
              <w:widowControl/>
              <w:spacing w:line="240" w:lineRule="atLeast"/>
              <w:rPr>
                <w:rFonts w:ascii="宋体" w:hAnsi="宋体" w:cs="宋体"/>
                <w:b/>
                <w:color w:val="auto"/>
                <w:kern w:val="0"/>
                <w:szCs w:val="21"/>
              </w:rPr>
            </w:pPr>
            <w:r>
              <w:rPr>
                <w:rFonts w:hint="eastAsia" w:ascii="宋体" w:hAnsi="宋体"/>
                <w:color w:val="auto"/>
                <w:kern w:val="10"/>
                <w:szCs w:val="21"/>
              </w:rPr>
              <w:t>掌握企业会计信息系统分析与设计的基本原理，能够熟练完成会计软件各</w:t>
            </w:r>
            <w:r>
              <w:rPr>
                <w:rFonts w:ascii="宋体" w:hAnsi="宋体"/>
                <w:color w:val="auto"/>
                <w:kern w:val="10"/>
                <w:szCs w:val="21"/>
              </w:rPr>
              <w:t>子系统操作，具备</w:t>
            </w:r>
            <w:r>
              <w:rPr>
                <w:rFonts w:hint="eastAsia" w:ascii="宋体" w:hAnsi="宋体"/>
                <w:color w:val="auto"/>
                <w:kern w:val="10"/>
                <w:szCs w:val="21"/>
              </w:rPr>
              <w:t>会计</w:t>
            </w:r>
            <w:r>
              <w:rPr>
                <w:rFonts w:ascii="宋体" w:hAnsi="宋体"/>
                <w:color w:val="auto"/>
                <w:kern w:val="10"/>
                <w:szCs w:val="21"/>
              </w:rPr>
              <w:t>信息化工作素养。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13</w:t>
            </w:r>
          </w:p>
        </w:tc>
        <w:tc>
          <w:tcPr>
            <w:tcW w:w="1905" w:type="dxa"/>
            <w:vAlign w:val="center"/>
          </w:tcPr>
          <w:p>
            <w:pPr>
              <w:spacing w:line="240" w:lineRule="atLeast"/>
              <w:jc w:val="left"/>
              <w:rPr>
                <w:rFonts w:ascii="宋体" w:hAnsi="宋体"/>
                <w:color w:val="auto"/>
                <w:szCs w:val="21"/>
              </w:rPr>
            </w:pPr>
            <w:r>
              <w:rPr>
                <w:rFonts w:ascii="宋体" w:hAnsi="宋体"/>
                <w:color w:val="auto"/>
                <w:szCs w:val="21"/>
              </w:rPr>
              <w:t>工程</w:t>
            </w:r>
            <w:r>
              <w:rPr>
                <w:rFonts w:hint="eastAsia" w:ascii="宋体" w:hAnsi="宋体"/>
                <w:color w:val="auto"/>
                <w:szCs w:val="21"/>
              </w:rPr>
              <w:t>财务</w:t>
            </w:r>
            <w:r>
              <w:rPr>
                <w:rFonts w:ascii="宋体" w:hAnsi="宋体"/>
                <w:color w:val="auto"/>
                <w:szCs w:val="21"/>
              </w:rPr>
              <w:t>管理</w:t>
            </w:r>
            <w:r>
              <w:rPr>
                <w:rFonts w:hint="eastAsia" w:ascii="宋体" w:hAnsi="宋体"/>
                <w:color w:val="auto"/>
                <w:szCs w:val="21"/>
              </w:rPr>
              <w:t>*</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职业</w:t>
            </w:r>
            <w:r>
              <w:rPr>
                <w:rFonts w:ascii="宋体" w:hAnsi="宋体" w:cs="宋体"/>
                <w:color w:val="auto"/>
                <w:kern w:val="0"/>
                <w:szCs w:val="21"/>
              </w:rPr>
              <w:t>引入、</w:t>
            </w:r>
            <w:r>
              <w:rPr>
                <w:rFonts w:hint="eastAsia" w:ascii="宋体" w:hAnsi="宋体" w:cs="宋体"/>
                <w:color w:val="auto"/>
                <w:kern w:val="0"/>
                <w:szCs w:val="21"/>
              </w:rPr>
              <w:t>资金</w:t>
            </w:r>
            <w:r>
              <w:rPr>
                <w:rFonts w:ascii="宋体" w:hAnsi="宋体" w:cs="宋体"/>
                <w:color w:val="auto"/>
                <w:kern w:val="0"/>
                <w:szCs w:val="21"/>
              </w:rPr>
              <w:t>管理、</w:t>
            </w:r>
            <w:r>
              <w:rPr>
                <w:rFonts w:hint="eastAsia" w:ascii="宋体" w:hAnsi="宋体"/>
                <w:color w:val="auto"/>
                <w:kern w:val="10"/>
                <w:szCs w:val="21"/>
              </w:rPr>
              <w:t>工程筹资管理、工程投资管理、盈余管理等</w:t>
            </w:r>
            <w:r>
              <w:rPr>
                <w:rFonts w:ascii="宋体" w:hAnsi="宋体"/>
                <w:color w:val="auto"/>
                <w:kern w:val="10"/>
                <w:szCs w:val="21"/>
              </w:rPr>
              <w:t>。</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掌握</w:t>
            </w:r>
            <w:r>
              <w:rPr>
                <w:rFonts w:ascii="宋体" w:hAnsi="宋体"/>
                <w:color w:val="auto"/>
                <w:kern w:val="10"/>
                <w:szCs w:val="21"/>
              </w:rPr>
              <w:t>工程财务管理</w:t>
            </w:r>
            <w:r>
              <w:rPr>
                <w:rFonts w:hint="eastAsia" w:ascii="宋体" w:hAnsi="宋体"/>
                <w:color w:val="auto"/>
                <w:kern w:val="10"/>
                <w:szCs w:val="21"/>
              </w:rPr>
              <w:t>相关原理理论，具备建筑企业财务活动的管理的能力，养成</w:t>
            </w:r>
            <w:r>
              <w:rPr>
                <w:rFonts w:ascii="宋体" w:hAnsi="宋体"/>
                <w:color w:val="auto"/>
                <w:kern w:val="10"/>
                <w:szCs w:val="21"/>
              </w:rPr>
              <w:t>财务管理</w:t>
            </w:r>
            <w:r>
              <w:rPr>
                <w:rFonts w:hint="eastAsia" w:ascii="宋体" w:hAnsi="宋体"/>
                <w:color w:val="auto"/>
                <w:kern w:val="10"/>
                <w:szCs w:val="21"/>
              </w:rPr>
              <w:t>人员的职业素养和工作作风。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14</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lang w:eastAsia="zh-CN"/>
              </w:rPr>
              <w:t>建筑财务数智化应用</w:t>
            </w:r>
            <w:r>
              <w:rPr>
                <w:rFonts w:hint="eastAsia" w:ascii="宋体" w:hAnsi="宋体"/>
                <w:color w:val="auto"/>
                <w:szCs w:val="21"/>
              </w:rPr>
              <w:t>*</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hint="default" w:ascii="宋体" w:hAnsi="宋体" w:eastAsia="宋体"/>
                <w:color w:val="auto"/>
                <w:kern w:val="10"/>
                <w:sz w:val="21"/>
                <w:szCs w:val="21"/>
                <w:lang w:val="en-US" w:eastAsia="zh-CN"/>
              </w:rPr>
            </w:pPr>
            <w:r>
              <w:rPr>
                <w:rFonts w:hint="eastAsia" w:ascii="宋体" w:hAnsi="宋体"/>
                <w:color w:val="auto"/>
                <w:kern w:val="10"/>
                <w:sz w:val="21"/>
                <w:szCs w:val="21"/>
                <w:lang w:val="en-US" w:eastAsia="zh-CN"/>
              </w:rPr>
              <w:t>投标阶段财务核算、准备阶段财务核算、施工阶段财务核算、竣工阶段财务核算。</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熟悉会计信息化工作规范</w:t>
            </w:r>
            <w:r>
              <w:rPr>
                <w:rFonts w:hint="eastAsia" w:ascii="宋体" w:hAnsi="宋体" w:cs="宋体"/>
                <w:color w:val="auto"/>
                <w:kern w:val="0"/>
                <w:szCs w:val="21"/>
                <w:lang w:eastAsia="zh-CN"/>
              </w:rPr>
              <w:t>、</w:t>
            </w:r>
            <w:r>
              <w:rPr>
                <w:rFonts w:hint="eastAsia" w:ascii="宋体" w:hAnsi="宋体" w:cs="宋体"/>
                <w:color w:val="auto"/>
                <w:kern w:val="0"/>
                <w:szCs w:val="21"/>
              </w:rPr>
              <w:t>企业会计准则</w:t>
            </w:r>
            <w:r>
              <w:rPr>
                <w:rFonts w:hint="eastAsia" w:ascii="宋体" w:hAnsi="宋体" w:cs="宋体"/>
                <w:color w:val="auto"/>
                <w:kern w:val="0"/>
                <w:szCs w:val="21"/>
                <w:lang w:val="en-US" w:eastAsia="zh-CN"/>
              </w:rPr>
              <w:t>要求，掌握业财税账务处理程序，</w:t>
            </w:r>
            <w:r>
              <w:rPr>
                <w:rFonts w:hint="eastAsia" w:ascii="宋体" w:hAnsi="宋体" w:cs="宋体"/>
                <w:color w:val="auto"/>
                <w:kern w:val="0"/>
                <w:szCs w:val="21"/>
              </w:rPr>
              <w:t>具</w:t>
            </w:r>
            <w:r>
              <w:rPr>
                <w:rFonts w:hint="eastAsia" w:ascii="宋体" w:hAnsi="宋体" w:cs="宋体"/>
                <w:color w:val="auto"/>
                <w:kern w:val="0"/>
                <w:szCs w:val="21"/>
                <w:lang w:val="en-US" w:eastAsia="zh-CN"/>
              </w:rPr>
              <w:t>有</w:t>
            </w:r>
            <w:r>
              <w:rPr>
                <w:rFonts w:hint="eastAsia" w:ascii="宋体" w:hAnsi="宋体" w:cs="宋体"/>
                <w:color w:val="auto"/>
                <w:kern w:val="0"/>
                <w:szCs w:val="21"/>
              </w:rPr>
              <w:t>核算工程项目</w:t>
            </w:r>
            <w:r>
              <w:rPr>
                <w:rFonts w:hint="eastAsia" w:ascii="宋体" w:hAnsi="宋体" w:cs="宋体"/>
                <w:color w:val="auto"/>
                <w:kern w:val="0"/>
                <w:szCs w:val="21"/>
                <w:lang w:eastAsia="zh-CN"/>
              </w:rPr>
              <w:t>、</w:t>
            </w:r>
            <w:r>
              <w:rPr>
                <w:rFonts w:hint="eastAsia" w:ascii="宋体" w:hAnsi="宋体" w:cs="宋体"/>
                <w:color w:val="auto"/>
                <w:kern w:val="0"/>
                <w:szCs w:val="21"/>
              </w:rPr>
              <w:t>办理纳税事务</w:t>
            </w:r>
            <w:r>
              <w:rPr>
                <w:rFonts w:hint="eastAsia" w:ascii="宋体" w:hAnsi="宋体" w:cs="宋体"/>
                <w:color w:val="auto"/>
                <w:kern w:val="0"/>
                <w:szCs w:val="21"/>
                <w:lang w:eastAsia="zh-CN"/>
              </w:rPr>
              <w:t>、</w:t>
            </w:r>
            <w:r>
              <w:rPr>
                <w:rFonts w:hint="eastAsia" w:ascii="宋体" w:hAnsi="宋体" w:cs="宋体"/>
                <w:color w:val="auto"/>
                <w:kern w:val="0"/>
                <w:szCs w:val="21"/>
              </w:rPr>
              <w:t>分析项目效益</w:t>
            </w:r>
            <w:r>
              <w:rPr>
                <w:rFonts w:hint="eastAsia" w:ascii="宋体" w:hAnsi="宋体" w:cs="宋体"/>
                <w:color w:val="auto"/>
                <w:kern w:val="0"/>
                <w:szCs w:val="21"/>
                <w:lang w:val="en-US" w:eastAsia="zh-CN"/>
              </w:rPr>
              <w:t>的</w:t>
            </w:r>
            <w:r>
              <w:rPr>
                <w:rFonts w:hint="eastAsia" w:ascii="宋体" w:hAnsi="宋体" w:cs="宋体"/>
                <w:color w:val="auto"/>
                <w:kern w:val="0"/>
                <w:szCs w:val="21"/>
              </w:rPr>
              <w:t>能力，具备建筑企业会计职业素养和工匠精神。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15</w:t>
            </w:r>
          </w:p>
        </w:tc>
        <w:tc>
          <w:tcPr>
            <w:tcW w:w="1905" w:type="dxa"/>
            <w:vAlign w:val="center"/>
          </w:tcPr>
          <w:p>
            <w:pPr>
              <w:spacing w:line="240" w:lineRule="atLeast"/>
              <w:jc w:val="left"/>
              <w:rPr>
                <w:rFonts w:ascii="宋体" w:hAnsi="宋体"/>
                <w:color w:val="auto"/>
                <w:szCs w:val="21"/>
              </w:rPr>
            </w:pPr>
            <w:r>
              <w:rPr>
                <w:rFonts w:ascii="宋体" w:hAnsi="宋体"/>
                <w:color w:val="auto"/>
                <w:szCs w:val="21"/>
              </w:rPr>
              <w:t>税</w:t>
            </w:r>
            <w:r>
              <w:rPr>
                <w:rFonts w:hint="eastAsia" w:ascii="宋体" w:hAnsi="宋体"/>
                <w:color w:val="auto"/>
                <w:szCs w:val="21"/>
              </w:rPr>
              <w:t>务实务</w:t>
            </w:r>
            <w:r>
              <w:rPr>
                <w:rFonts w:ascii="宋体" w:hAnsi="宋体"/>
                <w:color w:val="auto"/>
                <w:szCs w:val="21"/>
              </w:rPr>
              <w:t>与筹划</w:t>
            </w:r>
            <w:r>
              <w:rPr>
                <w:rFonts w:hint="eastAsia" w:ascii="宋体" w:hAnsi="宋体"/>
                <w:color w:val="auto"/>
                <w:szCs w:val="21"/>
              </w:rPr>
              <w:t>*</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olor w:val="auto"/>
                <w:kern w:val="10"/>
                <w:szCs w:val="21"/>
              </w:rPr>
              <w:t>职业引导与税务环境、增值税</w:t>
            </w:r>
            <w:r>
              <w:rPr>
                <w:rFonts w:ascii="宋体" w:hAnsi="宋体"/>
                <w:color w:val="auto"/>
                <w:kern w:val="10"/>
                <w:szCs w:val="21"/>
              </w:rPr>
              <w:t>、消费</w:t>
            </w:r>
            <w:r>
              <w:rPr>
                <w:rFonts w:hint="eastAsia" w:ascii="宋体" w:hAnsi="宋体"/>
                <w:color w:val="auto"/>
                <w:kern w:val="10"/>
                <w:szCs w:val="21"/>
              </w:rPr>
              <w:t>税</w:t>
            </w:r>
            <w:r>
              <w:rPr>
                <w:rFonts w:ascii="宋体" w:hAnsi="宋体"/>
                <w:color w:val="auto"/>
                <w:kern w:val="10"/>
                <w:szCs w:val="21"/>
              </w:rPr>
              <w:t>、企业所得税、个人所得税、其他税费</w:t>
            </w:r>
            <w:r>
              <w:rPr>
                <w:rFonts w:hint="eastAsia" w:ascii="宋体" w:hAnsi="宋体"/>
                <w:color w:val="auto"/>
                <w:kern w:val="10"/>
                <w:szCs w:val="21"/>
              </w:rPr>
              <w:t>等</w:t>
            </w:r>
            <w:r>
              <w:rPr>
                <w:rFonts w:ascii="宋体" w:hAnsi="宋体"/>
                <w:color w:val="auto"/>
                <w:kern w:val="10"/>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熟悉建筑业、房地产企业的税务实务与基本筹划，具备扎实的税务知识，能正确进行税务计算和核算，拥有初步税务筹划能力和税务风险防范意识。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16</w:t>
            </w:r>
          </w:p>
        </w:tc>
        <w:tc>
          <w:tcPr>
            <w:tcW w:w="1905" w:type="dxa"/>
            <w:vAlign w:val="center"/>
          </w:tcPr>
          <w:p>
            <w:pPr>
              <w:spacing w:line="240" w:lineRule="atLeast"/>
              <w:jc w:val="left"/>
              <w:rPr>
                <w:rFonts w:ascii="宋体"/>
                <w:color w:val="auto"/>
                <w:szCs w:val="21"/>
              </w:rPr>
            </w:pPr>
            <w:r>
              <w:rPr>
                <w:rFonts w:hint="eastAsia" w:ascii="宋体" w:hAnsi="宋体" w:cs="宋体"/>
                <w:color w:val="auto"/>
                <w:kern w:val="0"/>
                <w:szCs w:val="21"/>
              </w:rPr>
              <w:t>智能财务机器人应用</w:t>
            </w:r>
          </w:p>
        </w:tc>
        <w:tc>
          <w:tcPr>
            <w:tcW w:w="1355" w:type="dxa"/>
            <w:vAlign w:val="center"/>
          </w:tcPr>
          <w:p>
            <w:pPr>
              <w:widowControl/>
              <w:spacing w:line="240" w:lineRule="atLeast"/>
              <w:jc w:val="center"/>
              <w:outlineLvl w:val="0"/>
              <w:rPr>
                <w:rFonts w:ascii="宋体"/>
                <w:color w:val="auto"/>
                <w:szCs w:val="21"/>
              </w:rPr>
            </w:pPr>
            <w:r>
              <w:rPr>
                <w:rFonts w:hint="eastAsia" w:ascii="宋体" w:hAnsi="宋体"/>
                <w:color w:val="auto"/>
                <w:szCs w:val="21"/>
              </w:rPr>
              <w:t>专业课</w:t>
            </w:r>
          </w:p>
        </w:tc>
        <w:tc>
          <w:tcPr>
            <w:tcW w:w="2126" w:type="dxa"/>
          </w:tcPr>
          <w:p>
            <w:pPr>
              <w:widowControl/>
              <w:spacing w:line="240" w:lineRule="atLeast"/>
              <w:outlineLvl w:val="0"/>
              <w:rPr>
                <w:rFonts w:ascii="宋体"/>
                <w:color w:val="auto"/>
                <w:kern w:val="10"/>
                <w:szCs w:val="21"/>
              </w:rPr>
            </w:pPr>
            <w:r>
              <w:rPr>
                <w:rFonts w:hint="eastAsia" w:ascii="宋体"/>
                <w:color w:val="auto"/>
                <w:kern w:val="10"/>
                <w:szCs w:val="21"/>
              </w:rPr>
              <w:t>财务计划编制机器人、财务指标计算机器人、经营状况分析机器人、财务报销编制机器人、财务预算审核机器人、杜邦财务分析机器人等应用。</w:t>
            </w:r>
          </w:p>
        </w:tc>
        <w:tc>
          <w:tcPr>
            <w:tcW w:w="3322" w:type="dxa"/>
          </w:tcPr>
          <w:p>
            <w:pPr>
              <w:widowControl/>
              <w:spacing w:line="240" w:lineRule="atLeast"/>
              <w:outlineLvl w:val="0"/>
              <w:rPr>
                <w:rFonts w:ascii="宋体"/>
                <w:color w:val="auto"/>
                <w:kern w:val="10"/>
                <w:szCs w:val="21"/>
              </w:rPr>
            </w:pPr>
            <w:r>
              <w:rPr>
                <w:rFonts w:hint="eastAsia" w:ascii="宋体"/>
                <w:color w:val="auto"/>
                <w:kern w:val="10"/>
                <w:szCs w:val="21"/>
              </w:rPr>
              <w:t>通过费用报销、固定资产、采购付款、订单收款、存货成本、总账报表、资金管理、税务管理、预算绩效等典型财务机器人的应用和设计，培养学生的业务分析、流程管理能力。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17</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管理</w:t>
            </w:r>
            <w:r>
              <w:rPr>
                <w:rFonts w:ascii="宋体" w:hAnsi="宋体"/>
                <w:color w:val="auto"/>
                <w:szCs w:val="21"/>
              </w:rPr>
              <w:t>会计</w:t>
            </w:r>
            <w:r>
              <w:rPr>
                <w:rFonts w:hint="eastAsia" w:ascii="宋体" w:hAnsi="宋体"/>
                <w:color w:val="auto"/>
                <w:szCs w:val="21"/>
              </w:rPr>
              <w:t>*</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企业管理会计活动的工作环境和工作内容，管理会计的相关理论知识，成本性态、变动成本法、本量利分析、标准成本法等常用的管理会计工具方法等。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熟练掌握管理会计相关原理理论，具备企业管理会计活动的成本预测能力、全面预算管理能力和经济业绩考核评价能力，养成管理会计人员的职业素养和工作作风。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18</w:t>
            </w:r>
          </w:p>
        </w:tc>
        <w:tc>
          <w:tcPr>
            <w:tcW w:w="1905" w:type="dxa"/>
            <w:vAlign w:val="center"/>
          </w:tcPr>
          <w:p>
            <w:pPr>
              <w:spacing w:line="240" w:lineRule="atLeast"/>
              <w:jc w:val="both"/>
              <w:rPr>
                <w:rFonts w:ascii="宋体" w:hAnsi="宋体"/>
                <w:color w:val="auto"/>
                <w:szCs w:val="21"/>
              </w:rPr>
            </w:pPr>
            <w:r>
              <w:rPr>
                <w:rFonts w:hint="eastAsia" w:ascii="宋体" w:hAnsi="宋体"/>
                <w:color w:val="auto"/>
                <w:szCs w:val="21"/>
              </w:rPr>
              <w:t>大数据财务分析</w:t>
            </w:r>
            <w:r>
              <w:rPr>
                <w:rFonts w:ascii="宋体" w:hAnsi="宋体"/>
                <w:color w:val="auto"/>
                <w:szCs w:val="21"/>
              </w:rPr>
              <w:t>*</w:t>
            </w:r>
          </w:p>
        </w:tc>
        <w:tc>
          <w:tcPr>
            <w:tcW w:w="1355" w:type="dxa"/>
            <w:vAlign w:val="center"/>
          </w:tcPr>
          <w:p>
            <w:pPr>
              <w:widowControl/>
              <w:spacing w:line="240" w:lineRule="atLeast"/>
              <w:jc w:val="center"/>
              <w:outlineLvl w:val="0"/>
              <w:rPr>
                <w:rFonts w:ascii="宋体" w:hAnsi="宋体"/>
                <w:color w:val="auto"/>
                <w:szCs w:val="21"/>
              </w:rPr>
            </w:pPr>
            <w:r>
              <w:rPr>
                <w:rFonts w:hint="eastAsia" w:ascii="宋体" w:hAnsi="宋体"/>
                <w:color w:val="auto"/>
                <w:szCs w:val="21"/>
              </w:rPr>
              <w:t>专业课</w:t>
            </w:r>
          </w:p>
        </w:tc>
        <w:tc>
          <w:tcPr>
            <w:tcW w:w="2126" w:type="dxa"/>
          </w:tcPr>
          <w:p>
            <w:pPr>
              <w:widowControl/>
              <w:spacing w:line="240" w:lineRule="atLeast"/>
              <w:outlineLvl w:val="0"/>
              <w:rPr>
                <w:rFonts w:ascii="宋体"/>
                <w:color w:val="auto"/>
                <w:kern w:val="10"/>
                <w:szCs w:val="21"/>
              </w:rPr>
            </w:pPr>
            <w:r>
              <w:rPr>
                <w:rFonts w:hint="eastAsia" w:ascii="宋体"/>
                <w:color w:val="auto"/>
                <w:kern w:val="10"/>
                <w:szCs w:val="21"/>
              </w:rPr>
              <w:t xml:space="preserve"> </w:t>
            </w:r>
            <w:r>
              <w:rPr>
                <w:rFonts w:hint="eastAsia" w:ascii="宋体"/>
                <w:color w:val="auto"/>
                <w:kern w:val="10"/>
                <w:szCs w:val="21"/>
                <w:lang w:val="zh-CN"/>
              </w:rPr>
              <w:t>财务报表解读、财务报表分析、财务效率分析、财务综合分析与评价等</w:t>
            </w:r>
            <w:r>
              <w:rPr>
                <w:rFonts w:hint="eastAsia" w:ascii="宋体"/>
                <w:color w:val="auto"/>
                <w:kern w:val="10"/>
                <w:szCs w:val="21"/>
              </w:rPr>
              <w:t>。</w:t>
            </w:r>
          </w:p>
        </w:tc>
        <w:tc>
          <w:tcPr>
            <w:tcW w:w="3322" w:type="dxa"/>
          </w:tcPr>
          <w:p>
            <w:pPr>
              <w:widowControl/>
              <w:spacing w:line="240" w:lineRule="atLeast"/>
              <w:outlineLvl w:val="0"/>
              <w:rPr>
                <w:rFonts w:ascii="宋体"/>
                <w:color w:val="auto"/>
                <w:kern w:val="10"/>
                <w:szCs w:val="21"/>
              </w:rPr>
            </w:pPr>
            <w:r>
              <w:rPr>
                <w:rFonts w:hint="eastAsia" w:ascii="宋体"/>
                <w:color w:val="auto"/>
                <w:kern w:val="10"/>
                <w:szCs w:val="21"/>
              </w:rPr>
              <w:t>熟悉采集、加工、分析与挖掘、可视化呈现等大数据处理的全过程，具备大数据财务分析的大数据思维，掌握大数据技术在财务分析领域的综合应用。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19</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财务</w:t>
            </w:r>
            <w:r>
              <w:rPr>
                <w:rFonts w:ascii="宋体" w:hAnsi="宋体"/>
                <w:color w:val="auto"/>
                <w:szCs w:val="21"/>
              </w:rPr>
              <w:t>管理</w:t>
            </w:r>
            <w:r>
              <w:rPr>
                <w:rFonts w:hint="eastAsia" w:ascii="宋体" w:hAnsi="宋体"/>
                <w:color w:val="auto"/>
                <w:szCs w:val="21"/>
              </w:rPr>
              <w:t>实训</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资产</w:t>
            </w:r>
            <w:r>
              <w:rPr>
                <w:rFonts w:ascii="宋体" w:hAnsi="宋体" w:cs="宋体"/>
                <w:color w:val="auto"/>
                <w:kern w:val="0"/>
                <w:szCs w:val="21"/>
              </w:rPr>
              <w:t>管理、</w:t>
            </w:r>
            <w:r>
              <w:rPr>
                <w:rFonts w:hint="eastAsia" w:ascii="宋体" w:hAnsi="宋体"/>
                <w:color w:val="auto"/>
                <w:kern w:val="10"/>
                <w:szCs w:val="21"/>
              </w:rPr>
              <w:t>筹资管理、投资管理、盈余管理等。</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w:t>
            </w:r>
            <w:r>
              <w:rPr>
                <w:rFonts w:ascii="宋体" w:hAnsi="宋体" w:cs="宋体"/>
                <w:color w:val="auto"/>
                <w:kern w:val="0"/>
                <w:szCs w:val="21"/>
              </w:rPr>
              <w:t>财务管理活动，具备</w:t>
            </w:r>
            <w:r>
              <w:rPr>
                <w:rFonts w:hint="eastAsia" w:ascii="宋体" w:hAnsi="宋体" w:cs="宋体"/>
                <w:color w:val="auto"/>
                <w:kern w:val="0"/>
                <w:szCs w:val="21"/>
              </w:rPr>
              <w:t>资产管理、筹资管理、投资决策、盈余管理能力，</w:t>
            </w:r>
            <w:r>
              <w:rPr>
                <w:rFonts w:ascii="宋体" w:hAnsi="宋体" w:cs="宋体"/>
                <w:color w:val="auto"/>
                <w:kern w:val="0"/>
                <w:szCs w:val="21"/>
              </w:rPr>
              <w:t>能</w:t>
            </w:r>
            <w:r>
              <w:rPr>
                <w:rFonts w:hint="eastAsia" w:ascii="宋体" w:hAnsi="宋体" w:cs="宋体"/>
                <w:color w:val="auto"/>
                <w:kern w:val="0"/>
                <w:szCs w:val="21"/>
              </w:rPr>
              <w:t>开展</w:t>
            </w:r>
            <w:r>
              <w:rPr>
                <w:rFonts w:ascii="宋体" w:hAnsi="宋体" w:cs="宋体"/>
                <w:color w:val="auto"/>
                <w:kern w:val="0"/>
                <w:szCs w:val="21"/>
              </w:rPr>
              <w:t>财务分析和</w:t>
            </w:r>
            <w:r>
              <w:rPr>
                <w:rFonts w:hint="eastAsia" w:ascii="宋体" w:hAnsi="宋体" w:cs="宋体"/>
                <w:color w:val="auto"/>
                <w:kern w:val="0"/>
                <w:szCs w:val="21"/>
              </w:rPr>
              <w:t>提出</w:t>
            </w:r>
            <w:r>
              <w:rPr>
                <w:rFonts w:ascii="宋体" w:hAnsi="宋体" w:cs="宋体"/>
                <w:color w:val="auto"/>
                <w:kern w:val="0"/>
                <w:szCs w:val="21"/>
              </w:rPr>
              <w:t>解决对策</w:t>
            </w:r>
            <w:r>
              <w:rPr>
                <w:rFonts w:hint="eastAsia" w:ascii="宋体" w:hAnsi="宋体" w:cs="宋体"/>
                <w:color w:val="auto"/>
                <w:kern w:val="0"/>
                <w:szCs w:val="21"/>
              </w:rPr>
              <w:t>，</w:t>
            </w:r>
            <w:r>
              <w:rPr>
                <w:rFonts w:ascii="宋体" w:hAnsi="宋体" w:cs="宋体"/>
                <w:color w:val="auto"/>
                <w:kern w:val="0"/>
                <w:szCs w:val="21"/>
              </w:rPr>
              <w:t>具有财务管理岗位相关工作素养。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20</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管理</w:t>
            </w:r>
            <w:r>
              <w:rPr>
                <w:rFonts w:ascii="宋体" w:hAnsi="宋体"/>
                <w:color w:val="auto"/>
                <w:szCs w:val="21"/>
              </w:rPr>
              <w:t>会计实训</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资金</w:t>
            </w:r>
            <w:r>
              <w:rPr>
                <w:rFonts w:ascii="宋体" w:hAnsi="宋体" w:cs="宋体"/>
                <w:color w:val="auto"/>
                <w:kern w:val="0"/>
                <w:szCs w:val="21"/>
              </w:rPr>
              <w:t>管理、成本管理、</w:t>
            </w:r>
            <w:r>
              <w:rPr>
                <w:rFonts w:hint="eastAsia" w:ascii="宋体" w:hAnsi="宋体" w:cs="宋体"/>
                <w:color w:val="auto"/>
                <w:kern w:val="0"/>
                <w:szCs w:val="21"/>
              </w:rPr>
              <w:t>营运</w:t>
            </w:r>
            <w:r>
              <w:rPr>
                <w:rFonts w:ascii="宋体" w:hAnsi="宋体" w:cs="宋体"/>
                <w:color w:val="auto"/>
                <w:kern w:val="0"/>
                <w:szCs w:val="21"/>
              </w:rPr>
              <w:t>管理、绩效管理</w:t>
            </w:r>
            <w:r>
              <w:rPr>
                <w:rFonts w:hint="eastAsia" w:ascii="宋体" w:hAnsi="宋体" w:cs="宋体"/>
                <w:color w:val="auto"/>
                <w:kern w:val="0"/>
                <w:szCs w:val="21"/>
              </w:rPr>
              <w:t>等</w:t>
            </w:r>
            <w:r>
              <w:rPr>
                <w:rFonts w:ascii="宋体" w:hAnsi="宋体" w:cs="宋体"/>
                <w:color w:val="auto"/>
                <w:kern w:val="0"/>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模拟</w:t>
            </w:r>
            <w:r>
              <w:rPr>
                <w:rFonts w:ascii="宋体" w:hAnsi="宋体" w:cs="宋体"/>
                <w:color w:val="auto"/>
                <w:kern w:val="0"/>
                <w:szCs w:val="21"/>
              </w:rPr>
              <w:t>企业背景，分组分角色</w:t>
            </w:r>
            <w:r>
              <w:rPr>
                <w:rFonts w:hint="eastAsia" w:ascii="宋体" w:hAnsi="宋体" w:cs="宋体"/>
                <w:color w:val="auto"/>
                <w:kern w:val="0"/>
                <w:szCs w:val="21"/>
              </w:rPr>
              <w:t>合作</w:t>
            </w:r>
            <w:r>
              <w:rPr>
                <w:rFonts w:ascii="宋体" w:hAnsi="宋体" w:cs="宋体"/>
                <w:color w:val="auto"/>
                <w:kern w:val="0"/>
                <w:szCs w:val="21"/>
              </w:rPr>
              <w:t>开展实训，</w:t>
            </w:r>
            <w:r>
              <w:rPr>
                <w:rFonts w:hint="eastAsia" w:ascii="宋体" w:hAnsi="宋体" w:cs="宋体"/>
                <w:color w:val="auto"/>
                <w:kern w:val="0"/>
                <w:szCs w:val="21"/>
              </w:rPr>
              <w:t>熟悉会计信息系统中的财务、业务数据和外部相关的政策、法律、经济等信息，</w:t>
            </w:r>
            <w:r>
              <w:rPr>
                <w:rFonts w:ascii="宋体" w:hAnsi="宋体" w:cs="宋体"/>
                <w:color w:val="auto"/>
                <w:kern w:val="0"/>
                <w:szCs w:val="21"/>
              </w:rPr>
              <w:t>掌握</w:t>
            </w:r>
            <w:r>
              <w:rPr>
                <w:rFonts w:hint="eastAsia" w:ascii="宋体" w:hAnsi="宋体" w:cs="宋体"/>
                <w:color w:val="auto"/>
                <w:kern w:val="0"/>
                <w:szCs w:val="21"/>
              </w:rPr>
              <w:t>管理会计工具方法，</w:t>
            </w:r>
            <w:r>
              <w:rPr>
                <w:rFonts w:ascii="宋体" w:hAnsi="宋体" w:cs="宋体"/>
                <w:color w:val="auto"/>
                <w:kern w:val="0"/>
                <w:szCs w:val="21"/>
              </w:rPr>
              <w:t>能</w:t>
            </w:r>
            <w:r>
              <w:rPr>
                <w:rFonts w:hint="eastAsia" w:ascii="宋体" w:hAnsi="宋体" w:cs="宋体"/>
                <w:color w:val="auto"/>
                <w:kern w:val="0"/>
                <w:szCs w:val="21"/>
              </w:rPr>
              <w:t>运用管理会计工具方法进行预测、决策、分析、控制和评价等，</w:t>
            </w:r>
            <w:r>
              <w:rPr>
                <w:rFonts w:ascii="宋体" w:hAnsi="宋体" w:cs="宋体"/>
                <w:color w:val="auto"/>
                <w:kern w:val="0"/>
                <w:szCs w:val="21"/>
              </w:rPr>
              <w:t>具备管理会计职业素养。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21</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企业实践</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共享</w:t>
            </w:r>
            <w:r>
              <w:rPr>
                <w:rFonts w:ascii="宋体" w:hAnsi="宋体" w:cs="宋体"/>
                <w:color w:val="auto"/>
                <w:kern w:val="0"/>
                <w:szCs w:val="21"/>
              </w:rPr>
              <w:t>财务、管理财务、战略财务等岗位的</w:t>
            </w:r>
            <w:r>
              <w:rPr>
                <w:rFonts w:hint="eastAsia" w:ascii="宋体" w:hAnsi="宋体" w:cs="宋体"/>
                <w:color w:val="auto"/>
                <w:kern w:val="0"/>
                <w:szCs w:val="21"/>
              </w:rPr>
              <w:t>综合</w:t>
            </w:r>
            <w:r>
              <w:rPr>
                <w:rFonts w:ascii="宋体" w:hAnsi="宋体" w:cs="宋体"/>
                <w:color w:val="auto"/>
                <w:kern w:val="0"/>
                <w:szCs w:val="21"/>
              </w:rPr>
              <w:t>实践。</w:t>
            </w:r>
          </w:p>
        </w:tc>
        <w:tc>
          <w:tcPr>
            <w:tcW w:w="3322" w:type="dxa"/>
          </w:tcPr>
          <w:p>
            <w:pPr>
              <w:widowControl/>
              <w:spacing w:line="240" w:lineRule="atLeast"/>
              <w:rPr>
                <w:rFonts w:ascii="宋体" w:hAnsi="宋体" w:cs="宋体"/>
                <w:color w:val="auto"/>
                <w:kern w:val="0"/>
                <w:szCs w:val="21"/>
              </w:rPr>
            </w:pPr>
            <w:r>
              <w:rPr>
                <w:rFonts w:hint="eastAsia" w:ascii="宋体" w:hAnsi="宋体"/>
                <w:color w:val="auto"/>
                <w:kern w:val="10"/>
                <w:szCs w:val="21"/>
              </w:rPr>
              <w:t>熟悉实践企业</w:t>
            </w:r>
            <w:r>
              <w:rPr>
                <w:rFonts w:ascii="宋体" w:hAnsi="宋体"/>
                <w:color w:val="auto"/>
                <w:kern w:val="10"/>
                <w:szCs w:val="21"/>
              </w:rPr>
              <w:t>的</w:t>
            </w:r>
            <w:r>
              <w:rPr>
                <w:rFonts w:hint="eastAsia" w:ascii="宋体" w:hAnsi="宋体"/>
                <w:color w:val="auto"/>
                <w:kern w:val="10"/>
                <w:szCs w:val="21"/>
              </w:rPr>
              <w:t>组织架构及经营运作模式，掌握</w:t>
            </w:r>
            <w:r>
              <w:rPr>
                <w:rFonts w:hint="eastAsia" w:ascii="宋体" w:hAnsi="宋体" w:cs="宋体"/>
                <w:color w:val="auto"/>
                <w:kern w:val="0"/>
                <w:szCs w:val="21"/>
              </w:rPr>
              <w:t>共享</w:t>
            </w:r>
            <w:r>
              <w:rPr>
                <w:rFonts w:ascii="宋体" w:hAnsi="宋体" w:cs="宋体"/>
                <w:color w:val="auto"/>
                <w:kern w:val="0"/>
                <w:szCs w:val="21"/>
              </w:rPr>
              <w:t>财务、管理财务、战略财务等岗位</w:t>
            </w:r>
            <w:r>
              <w:rPr>
                <w:rFonts w:hint="eastAsia" w:ascii="宋体" w:hAnsi="宋体"/>
                <w:color w:val="auto"/>
                <w:kern w:val="10"/>
                <w:szCs w:val="21"/>
              </w:rPr>
              <w:t>的工作程序和专业技能，培养良好的职业素质与团队精神。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22</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职业基本素养</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会计行业特点，财务人员的工作内容</w:t>
            </w:r>
            <w:r>
              <w:rPr>
                <w:rFonts w:ascii="宋体" w:hAnsi="宋体"/>
                <w:color w:val="auto"/>
                <w:kern w:val="10"/>
                <w:szCs w:val="21"/>
              </w:rPr>
              <w:t>、</w:t>
            </w:r>
            <w:r>
              <w:rPr>
                <w:rFonts w:hint="eastAsia" w:ascii="宋体" w:hAnsi="宋体"/>
                <w:color w:val="auto"/>
                <w:kern w:val="10"/>
                <w:szCs w:val="21"/>
              </w:rPr>
              <w:t>工作职责和要求，财务人员职业素养内容，职业素养在职业人生发展中的重要性等。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掌握和提高与职业活动密切相关的学习能力、沟通能力、组织协调能力，培养学生的诚信品质、合作意识、敬业精神、创新意识等，使学生能够更好地适应职场环境。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23</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最新财税政策解读</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企业会计</w:t>
            </w:r>
            <w:r>
              <w:rPr>
                <w:rFonts w:ascii="宋体" w:hAnsi="宋体"/>
                <w:color w:val="auto"/>
                <w:kern w:val="10"/>
                <w:szCs w:val="21"/>
              </w:rPr>
              <w:t>准则、</w:t>
            </w:r>
            <w:r>
              <w:rPr>
                <w:rFonts w:hint="eastAsia" w:ascii="宋体" w:hAnsi="宋体"/>
                <w:color w:val="auto"/>
                <w:kern w:val="10"/>
                <w:szCs w:val="21"/>
              </w:rPr>
              <w:t>小企业</w:t>
            </w:r>
            <w:r>
              <w:rPr>
                <w:rFonts w:ascii="宋体" w:hAnsi="宋体"/>
                <w:color w:val="auto"/>
                <w:kern w:val="10"/>
                <w:szCs w:val="21"/>
              </w:rPr>
              <w:t>会计准则、增值税等各税种的最新政策。</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了解国内外近期经济大事件，熟悉最新财税政策，培养实践能力，为后续顶岗实习和毕业设计打下坚实的理论基础和实践技能。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24</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顶岗实习</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共享财务实习，管理财务实习，战略财务</w:t>
            </w:r>
            <w:r>
              <w:rPr>
                <w:rFonts w:ascii="宋体" w:hAnsi="宋体"/>
                <w:color w:val="auto"/>
                <w:kern w:val="10"/>
                <w:szCs w:val="21"/>
              </w:rPr>
              <w:t>实习</w:t>
            </w:r>
            <w:r>
              <w:rPr>
                <w:rFonts w:hint="eastAsia" w:ascii="宋体" w:hAnsi="宋体"/>
                <w:color w:val="auto"/>
                <w:kern w:val="10"/>
                <w:szCs w:val="21"/>
              </w:rPr>
              <w:t>，专业相关</w:t>
            </w:r>
            <w:r>
              <w:rPr>
                <w:rFonts w:ascii="宋体" w:hAnsi="宋体"/>
                <w:color w:val="auto"/>
                <w:kern w:val="10"/>
                <w:szCs w:val="21"/>
              </w:rPr>
              <w:t>其他实习</w:t>
            </w:r>
            <w:r>
              <w:rPr>
                <w:rFonts w:hint="eastAsia" w:ascii="宋体" w:hAnsi="宋体"/>
                <w:color w:val="auto"/>
                <w:kern w:val="10"/>
                <w:szCs w:val="21"/>
              </w:rPr>
              <w:t>，创新创业工作等。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进一步激发学生学习本专业的热情，增强学习积极性，提高学生在职业综合能力、管理活动等方面的能力和水平，为毕业设计积累资料素材，也有利于毕业就业的双向选择。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25</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毕业设计</w:t>
            </w:r>
          </w:p>
        </w:tc>
        <w:tc>
          <w:tcPr>
            <w:tcW w:w="1355" w:type="dxa"/>
            <w:vAlign w:val="center"/>
          </w:tcPr>
          <w:p>
            <w:pPr>
              <w:spacing w:line="240" w:lineRule="atLeast"/>
              <w:jc w:val="center"/>
              <w:rPr>
                <w:color w:val="auto"/>
              </w:rPr>
            </w:pPr>
            <w:r>
              <w:rPr>
                <w:rFonts w:ascii="宋体" w:hAnsi="宋体" w:cs="宋体"/>
                <w:color w:val="auto"/>
                <w:kern w:val="0"/>
                <w:szCs w:val="21"/>
              </w:rPr>
              <w:t>专业</w:t>
            </w:r>
            <w:r>
              <w:rPr>
                <w:rFonts w:hint="eastAsia" w:ascii="宋体" w:hAnsi="宋体" w:cs="宋体"/>
                <w:color w:val="auto"/>
                <w:kern w:val="0"/>
                <w:szCs w:val="21"/>
              </w:rPr>
              <w:t>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紧密结合顶岗实习企业，从</w:t>
            </w:r>
            <w:r>
              <w:rPr>
                <w:rFonts w:ascii="宋体" w:hAnsi="宋体"/>
                <w:color w:val="auto"/>
                <w:kern w:val="10"/>
                <w:szCs w:val="21"/>
              </w:rPr>
              <w:t>会计账务处理和报告两个方向选其一，</w:t>
            </w:r>
            <w:r>
              <w:rPr>
                <w:rFonts w:hint="eastAsia" w:ascii="宋体" w:hAnsi="宋体"/>
                <w:color w:val="auto"/>
                <w:kern w:val="10"/>
                <w:szCs w:val="21"/>
              </w:rPr>
              <w:t>完成一定量的设计</w:t>
            </w:r>
            <w:r>
              <w:rPr>
                <w:rFonts w:ascii="宋体" w:hAnsi="宋体"/>
                <w:color w:val="auto"/>
                <w:kern w:val="10"/>
                <w:szCs w:val="21"/>
              </w:rPr>
              <w:t>任务</w:t>
            </w:r>
            <w:r>
              <w:rPr>
                <w:rFonts w:hint="eastAsia" w:ascii="宋体" w:hAnsi="宋体"/>
                <w:color w:val="auto"/>
                <w:kern w:val="10"/>
                <w:szCs w:val="21"/>
              </w:rPr>
              <w:t>。</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培养学生掌握课题研究的思想和方法，使学生将所学的专业知识运用到实际工作，培养学生综合运用理论知识和专业技能的能力。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26</w:t>
            </w:r>
          </w:p>
        </w:tc>
        <w:tc>
          <w:tcPr>
            <w:tcW w:w="1905" w:type="dxa"/>
            <w:vAlign w:val="center"/>
          </w:tcPr>
          <w:p>
            <w:pPr>
              <w:spacing w:line="240" w:lineRule="atLeast"/>
              <w:jc w:val="left"/>
              <w:rPr>
                <w:rFonts w:ascii="宋体" w:hAnsi="宋体" w:cs="宋体"/>
                <w:color w:val="auto"/>
                <w:szCs w:val="21"/>
              </w:rPr>
            </w:pPr>
            <w:r>
              <w:rPr>
                <w:rFonts w:hint="eastAsia" w:ascii="宋体" w:hAnsi="宋体" w:cs="宋体"/>
                <w:color w:val="auto"/>
                <w:szCs w:val="21"/>
              </w:rPr>
              <w:t>成本会计</w:t>
            </w:r>
          </w:p>
        </w:tc>
        <w:tc>
          <w:tcPr>
            <w:tcW w:w="1355"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职业引入、要素费用的归集分配、生产费用在完工和在产品之间的核算、产品成本的计算方法、其他行业成本核算、成本报表编制和分析等。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熟悉成本会计的职能、任务、对象及方法，掌握不同生产类型企业的成本归集和分配及结转方法，具备一般工业企业成本会计的业务处理能力，具有成本会计岗位职业能力和素养。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27</w:t>
            </w:r>
          </w:p>
        </w:tc>
        <w:tc>
          <w:tcPr>
            <w:tcW w:w="1905" w:type="dxa"/>
            <w:vAlign w:val="center"/>
          </w:tcPr>
          <w:p>
            <w:pPr>
              <w:spacing w:line="240" w:lineRule="atLeast"/>
              <w:jc w:val="left"/>
              <w:rPr>
                <w:rFonts w:ascii="宋体" w:hAnsi="宋体" w:cs="宋体"/>
                <w:color w:val="auto"/>
                <w:szCs w:val="21"/>
              </w:rPr>
            </w:pPr>
            <w:r>
              <w:rPr>
                <w:rFonts w:hint="eastAsia" w:ascii="宋体" w:hAnsi="宋体" w:cs="宋体"/>
                <w:color w:val="auto"/>
                <w:szCs w:val="21"/>
              </w:rPr>
              <w:t>建筑企业物资管理</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物资</w:t>
            </w:r>
            <w:r>
              <w:rPr>
                <w:rFonts w:ascii="宋体" w:hAnsi="宋体"/>
                <w:color w:val="auto"/>
                <w:kern w:val="10"/>
                <w:szCs w:val="21"/>
              </w:rPr>
              <w:t>管理法规和</w:t>
            </w:r>
            <w:r>
              <w:rPr>
                <w:rFonts w:hint="eastAsia" w:ascii="宋体" w:hAnsi="宋体"/>
                <w:color w:val="auto"/>
                <w:kern w:val="10"/>
                <w:szCs w:val="21"/>
              </w:rPr>
              <w:t>标准、物资</w:t>
            </w:r>
            <w:r>
              <w:rPr>
                <w:rFonts w:ascii="宋体" w:hAnsi="宋体"/>
                <w:color w:val="auto"/>
                <w:kern w:val="10"/>
                <w:szCs w:val="21"/>
              </w:rPr>
              <w:t>计划</w:t>
            </w:r>
            <w:r>
              <w:rPr>
                <w:rFonts w:hint="eastAsia" w:ascii="宋体" w:hAnsi="宋体"/>
                <w:color w:val="auto"/>
                <w:kern w:val="10"/>
                <w:szCs w:val="21"/>
              </w:rPr>
              <w:t>、物资</w:t>
            </w:r>
            <w:r>
              <w:rPr>
                <w:rFonts w:ascii="宋体" w:hAnsi="宋体"/>
                <w:color w:val="auto"/>
                <w:kern w:val="10"/>
                <w:szCs w:val="21"/>
              </w:rPr>
              <w:t>招投标</w:t>
            </w:r>
            <w:r>
              <w:rPr>
                <w:rFonts w:hint="eastAsia" w:ascii="宋体" w:hAnsi="宋体"/>
                <w:color w:val="auto"/>
                <w:kern w:val="10"/>
                <w:szCs w:val="21"/>
              </w:rPr>
              <w:t>、物资</w:t>
            </w:r>
            <w:r>
              <w:rPr>
                <w:rFonts w:ascii="宋体" w:hAnsi="宋体"/>
                <w:color w:val="auto"/>
                <w:kern w:val="10"/>
                <w:szCs w:val="21"/>
              </w:rPr>
              <w:t>采购</w:t>
            </w:r>
            <w:r>
              <w:rPr>
                <w:rFonts w:hint="eastAsia" w:ascii="宋体" w:hAnsi="宋体"/>
                <w:color w:val="auto"/>
                <w:kern w:val="10"/>
                <w:szCs w:val="21"/>
              </w:rPr>
              <w:t>、物资</w:t>
            </w:r>
            <w:r>
              <w:rPr>
                <w:rFonts w:ascii="宋体" w:hAnsi="宋体"/>
                <w:color w:val="auto"/>
                <w:kern w:val="10"/>
                <w:szCs w:val="21"/>
              </w:rPr>
              <w:t>储运</w:t>
            </w:r>
            <w:r>
              <w:rPr>
                <w:rFonts w:hint="eastAsia" w:ascii="宋体" w:hAnsi="宋体"/>
                <w:color w:val="auto"/>
                <w:kern w:val="10"/>
                <w:szCs w:val="21"/>
              </w:rPr>
              <w:t>、物资</w:t>
            </w:r>
            <w:r>
              <w:rPr>
                <w:rFonts w:ascii="宋体" w:hAnsi="宋体"/>
                <w:color w:val="auto"/>
                <w:kern w:val="10"/>
                <w:szCs w:val="21"/>
              </w:rPr>
              <w:t>合同管理</w:t>
            </w:r>
            <w:r>
              <w:rPr>
                <w:rFonts w:hint="eastAsia" w:ascii="宋体" w:hAnsi="宋体"/>
                <w:color w:val="auto"/>
                <w:kern w:val="10"/>
                <w:szCs w:val="21"/>
              </w:rPr>
              <w:t>、施工</w:t>
            </w:r>
            <w:r>
              <w:rPr>
                <w:rFonts w:ascii="宋体" w:hAnsi="宋体"/>
                <w:color w:val="auto"/>
                <w:kern w:val="10"/>
                <w:szCs w:val="21"/>
              </w:rPr>
              <w:t>现场物资管理</w:t>
            </w:r>
            <w:r>
              <w:rPr>
                <w:rFonts w:hint="eastAsia" w:ascii="宋体" w:hAnsi="宋体"/>
                <w:color w:val="auto"/>
                <w:kern w:val="10"/>
                <w:szCs w:val="21"/>
              </w:rPr>
              <w:t>等</w:t>
            </w:r>
            <w:r>
              <w:rPr>
                <w:rFonts w:ascii="宋体" w:hAnsi="宋体"/>
                <w:color w:val="auto"/>
                <w:kern w:val="10"/>
                <w:szCs w:val="21"/>
              </w:rPr>
              <w:t>。</w:t>
            </w:r>
          </w:p>
          <w:p>
            <w:pPr>
              <w:widowControl/>
              <w:spacing w:line="240" w:lineRule="atLeast"/>
              <w:rPr>
                <w:rFonts w:ascii="宋体" w:hAnsi="宋体"/>
                <w:color w:val="auto"/>
                <w:kern w:val="10"/>
                <w:szCs w:val="21"/>
              </w:rPr>
            </w:pP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熟悉建筑企业物资的供应方式和材质的要求，掌握各种物资需要量，具备建筑企业物资岗位的管理能力，具有建筑企业物资管理职业素养。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28</w:t>
            </w:r>
          </w:p>
        </w:tc>
        <w:tc>
          <w:tcPr>
            <w:tcW w:w="1905" w:type="dxa"/>
            <w:vAlign w:val="center"/>
          </w:tcPr>
          <w:p>
            <w:pPr>
              <w:spacing w:line="240" w:lineRule="atLeast"/>
              <w:jc w:val="left"/>
              <w:rPr>
                <w:rFonts w:ascii="宋体" w:hAnsi="宋体"/>
                <w:color w:val="auto"/>
                <w:szCs w:val="21"/>
              </w:rPr>
            </w:pPr>
            <w:r>
              <w:rPr>
                <w:rFonts w:hint="eastAsia" w:ascii="宋体" w:hAnsi="宋体" w:cs="宋体"/>
                <w:color w:val="auto"/>
                <w:szCs w:val="21"/>
              </w:rPr>
              <w:t>财务共享应用</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收发会计、票据会计、整理会计、录入会计、复核会计、审核会计和报税会计等岗位流程以及相应的操作内容等。</w:t>
            </w:r>
          </w:p>
        </w:tc>
        <w:tc>
          <w:tcPr>
            <w:tcW w:w="3322" w:type="dxa"/>
          </w:tcPr>
          <w:p>
            <w:pPr>
              <w:widowControl/>
              <w:spacing w:line="240" w:lineRule="atLeast"/>
              <w:rPr>
                <w:rFonts w:ascii="宋体" w:hAnsi="宋体"/>
                <w:color w:val="auto"/>
                <w:kern w:val="10"/>
                <w:szCs w:val="21"/>
              </w:rPr>
            </w:pPr>
            <w:r>
              <w:rPr>
                <w:rFonts w:hint="eastAsia" w:ascii="宋体" w:hAnsi="宋体" w:cs="宋体"/>
                <w:color w:val="auto"/>
                <w:szCs w:val="21"/>
                <w:shd w:val="clear" w:color="auto" w:fill="FFFFFF"/>
              </w:rPr>
              <w:t>依托集核算、报税、咨询、管理、协同于一体的共享中心工作平台，把企业真实的业务、职场文化、工作规则等引入院校，让学生足不出校即可参加企业核心业务的处理工作，培养实战能力和职业能力。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29</w:t>
            </w:r>
          </w:p>
        </w:tc>
        <w:tc>
          <w:tcPr>
            <w:tcW w:w="1905" w:type="dxa"/>
            <w:vAlign w:val="center"/>
          </w:tcPr>
          <w:p>
            <w:pPr>
              <w:spacing w:line="240" w:lineRule="atLeast"/>
              <w:jc w:val="left"/>
              <w:rPr>
                <w:rFonts w:ascii="宋体" w:hAnsi="宋体"/>
                <w:iCs/>
                <w:color w:val="auto"/>
                <w:szCs w:val="21"/>
              </w:rPr>
            </w:pPr>
            <w:r>
              <w:rPr>
                <w:rFonts w:hint="eastAsia" w:ascii="宋体" w:hAnsi="宋体"/>
                <w:iCs/>
                <w:color w:val="auto"/>
                <w:szCs w:val="21"/>
              </w:rPr>
              <w:t>行业</w:t>
            </w:r>
            <w:r>
              <w:rPr>
                <w:rFonts w:ascii="宋体" w:hAnsi="宋体"/>
                <w:iCs/>
                <w:color w:val="auto"/>
                <w:szCs w:val="21"/>
              </w:rPr>
              <w:t>会计</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中小工业企业账务流程处理、中小商业企业账务流程处理、中小服务企业账务流程处理。</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理解中小企业会计核算流程原理，能熟练处理小规模企业会计业务，具备会计岗位的职业能力，具有会计职业素养。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30</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资产</w:t>
            </w:r>
            <w:r>
              <w:rPr>
                <w:rFonts w:ascii="宋体" w:hAnsi="宋体"/>
                <w:color w:val="auto"/>
                <w:szCs w:val="21"/>
              </w:rPr>
              <w:t>评估实务</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s="宋体"/>
                <w:color w:val="auto"/>
                <w:szCs w:val="21"/>
              </w:rPr>
            </w:pPr>
            <w:r>
              <w:rPr>
                <w:rFonts w:hint="eastAsia" w:ascii="宋体" w:hAnsi="宋体" w:cs="宋体"/>
                <w:color w:val="auto"/>
                <w:szCs w:val="21"/>
              </w:rPr>
              <w:t>资产评估基础知识、资产评估报告、资产评估的基本方法、</w:t>
            </w:r>
            <w:r>
              <w:rPr>
                <w:rFonts w:ascii="宋体" w:hAnsi="宋体" w:cs="宋体"/>
                <w:color w:val="auto"/>
                <w:szCs w:val="21"/>
              </w:rPr>
              <w:t>房地产评估</w:t>
            </w:r>
            <w:r>
              <w:rPr>
                <w:rFonts w:hint="eastAsia" w:ascii="宋体" w:hAnsi="宋体" w:cs="宋体"/>
                <w:color w:val="auto"/>
                <w:szCs w:val="21"/>
              </w:rPr>
              <w:t>等</w:t>
            </w:r>
            <w:r>
              <w:rPr>
                <w:rFonts w:ascii="宋体" w:hAnsi="宋体" w:cs="宋体"/>
                <w:color w:val="auto"/>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理解资产评估基础知识，掌握资产评估的基本方法，初步具有现场勘查、收集资料、估算价值、撰写报告的能力，具备专业相关评估工作素养。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31</w:t>
            </w:r>
          </w:p>
        </w:tc>
        <w:tc>
          <w:tcPr>
            <w:tcW w:w="1905" w:type="dxa"/>
            <w:vAlign w:val="center"/>
          </w:tcPr>
          <w:p>
            <w:pPr>
              <w:spacing w:line="240" w:lineRule="atLeast"/>
              <w:jc w:val="left"/>
              <w:rPr>
                <w:rFonts w:ascii="宋体" w:hAnsi="宋体" w:cs="宋体"/>
                <w:color w:val="auto"/>
                <w:szCs w:val="21"/>
              </w:rPr>
            </w:pPr>
            <w:r>
              <w:rPr>
                <w:rFonts w:hint="eastAsia" w:ascii="宋体" w:hAnsi="宋体" w:cs="宋体"/>
                <w:color w:val="auto"/>
                <w:szCs w:val="21"/>
              </w:rPr>
              <w:t>工程</w:t>
            </w:r>
            <w:r>
              <w:rPr>
                <w:rFonts w:ascii="宋体" w:hAnsi="宋体" w:cs="宋体"/>
                <w:color w:val="auto"/>
                <w:szCs w:val="21"/>
              </w:rPr>
              <w:t>项目审计</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s="宋体"/>
                <w:color w:val="auto"/>
                <w:szCs w:val="21"/>
              </w:rPr>
              <w:t>认识工程项目审计、审计基础、审计作业流程、工程项目审计实务等</w:t>
            </w:r>
            <w:r>
              <w:rPr>
                <w:rFonts w:ascii="宋体" w:hAnsi="宋体" w:cs="宋体"/>
                <w:color w:val="auto"/>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了解不同项目审计类型的区别与联系；掌握审计技术和方法；熟悉工程项目不同阶段的审计；熟悉工程项目审计流程；熟悉审计文书和档案。培养严谨的态度和良好的职业道德操守。掌握工程项目审计相关技能，提高判断和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32</w:t>
            </w:r>
          </w:p>
        </w:tc>
        <w:tc>
          <w:tcPr>
            <w:tcW w:w="1905" w:type="dxa"/>
            <w:vAlign w:val="center"/>
          </w:tcPr>
          <w:p>
            <w:pPr>
              <w:spacing w:line="240" w:lineRule="atLeast"/>
              <w:jc w:val="left"/>
              <w:rPr>
                <w:rFonts w:ascii="宋体" w:hAnsi="宋体" w:cs="宋体"/>
                <w:color w:val="auto"/>
                <w:szCs w:val="21"/>
              </w:rPr>
            </w:pPr>
            <w:r>
              <w:rPr>
                <w:rFonts w:hint="eastAsia" w:ascii="宋体" w:hAnsi="宋体" w:cs="宋体"/>
                <w:color w:val="auto"/>
                <w:szCs w:val="21"/>
              </w:rPr>
              <w:t>企业</w:t>
            </w:r>
            <w:r>
              <w:rPr>
                <w:rFonts w:ascii="宋体" w:hAnsi="宋体" w:cs="宋体"/>
                <w:color w:val="auto"/>
                <w:szCs w:val="21"/>
              </w:rPr>
              <w:t>战略管理</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战略</w:t>
            </w:r>
            <w:r>
              <w:rPr>
                <w:rFonts w:ascii="宋体" w:hAnsi="宋体" w:cs="宋体"/>
                <w:color w:val="auto"/>
                <w:kern w:val="0"/>
                <w:szCs w:val="21"/>
              </w:rPr>
              <w:t>管理概述、</w:t>
            </w:r>
            <w:r>
              <w:rPr>
                <w:rFonts w:hint="eastAsia" w:ascii="宋体" w:hAnsi="宋体" w:cs="宋体"/>
                <w:color w:val="auto"/>
                <w:kern w:val="0"/>
                <w:szCs w:val="21"/>
              </w:rPr>
              <w:t>战略</w:t>
            </w:r>
            <w:r>
              <w:rPr>
                <w:rFonts w:ascii="宋体" w:hAnsi="宋体" w:cs="宋体"/>
                <w:color w:val="auto"/>
                <w:kern w:val="0"/>
                <w:szCs w:val="21"/>
              </w:rPr>
              <w:t>分析、战略选择、战略实施</w:t>
            </w:r>
            <w:r>
              <w:rPr>
                <w:rFonts w:hint="eastAsia" w:ascii="宋体" w:hAnsi="宋体" w:cs="宋体"/>
                <w:color w:val="auto"/>
                <w:kern w:val="0"/>
                <w:szCs w:val="21"/>
              </w:rPr>
              <w:t>、</w:t>
            </w:r>
            <w:r>
              <w:rPr>
                <w:rFonts w:ascii="宋体" w:hAnsi="宋体" w:cs="宋体"/>
                <w:color w:val="auto"/>
                <w:kern w:val="0"/>
                <w:szCs w:val="21"/>
              </w:rPr>
              <w:t>公司治理、风险管理</w:t>
            </w:r>
            <w:r>
              <w:rPr>
                <w:rFonts w:hint="eastAsia" w:ascii="宋体" w:hAnsi="宋体" w:cs="宋体"/>
                <w:color w:val="auto"/>
                <w:kern w:val="0"/>
                <w:szCs w:val="21"/>
              </w:rPr>
              <w:t>等</w:t>
            </w:r>
            <w:r>
              <w:rPr>
                <w:rFonts w:ascii="宋体" w:hAnsi="宋体" w:cs="宋体"/>
                <w:color w:val="auto"/>
                <w:kern w:val="0"/>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熟悉</w:t>
            </w:r>
            <w:r>
              <w:rPr>
                <w:rFonts w:ascii="宋体" w:hAnsi="宋体" w:cs="宋体"/>
                <w:color w:val="auto"/>
                <w:kern w:val="0"/>
                <w:szCs w:val="21"/>
              </w:rPr>
              <w:t>企业战略管理活动的基本过程和规律，</w:t>
            </w:r>
            <w:r>
              <w:rPr>
                <w:rFonts w:hint="eastAsia" w:ascii="宋体" w:hAnsi="宋体" w:cs="宋体"/>
                <w:color w:val="auto"/>
                <w:kern w:val="0"/>
                <w:szCs w:val="21"/>
              </w:rPr>
              <w:t>掌握战略</w:t>
            </w:r>
            <w:r>
              <w:rPr>
                <w:rFonts w:ascii="宋体" w:hAnsi="宋体" w:cs="宋体"/>
                <w:color w:val="auto"/>
                <w:kern w:val="0"/>
                <w:szCs w:val="21"/>
              </w:rPr>
              <w:t>分析与管理控制工具和风险管理方法，</w:t>
            </w:r>
            <w:r>
              <w:rPr>
                <w:rFonts w:hint="eastAsia" w:ascii="宋体" w:hAnsi="宋体" w:cs="宋体"/>
                <w:color w:val="auto"/>
                <w:kern w:val="0"/>
                <w:szCs w:val="21"/>
              </w:rPr>
              <w:t>初步</w:t>
            </w:r>
            <w:r>
              <w:rPr>
                <w:rFonts w:ascii="宋体" w:hAnsi="宋体" w:cs="宋体"/>
                <w:color w:val="auto"/>
                <w:kern w:val="0"/>
                <w:szCs w:val="21"/>
              </w:rPr>
              <w:t>具备</w:t>
            </w:r>
            <w:r>
              <w:rPr>
                <w:rFonts w:hint="eastAsia" w:ascii="宋体" w:hAnsi="宋体" w:cs="宋体"/>
                <w:color w:val="auto"/>
                <w:kern w:val="0"/>
                <w:szCs w:val="21"/>
              </w:rPr>
              <w:t>战略</w:t>
            </w:r>
            <w:r>
              <w:rPr>
                <w:rFonts w:ascii="宋体" w:hAnsi="宋体" w:cs="宋体"/>
                <w:color w:val="auto"/>
                <w:kern w:val="0"/>
                <w:szCs w:val="21"/>
              </w:rPr>
              <w:t>管理能力和数字化领导能力。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33</w:t>
            </w:r>
          </w:p>
        </w:tc>
        <w:tc>
          <w:tcPr>
            <w:tcW w:w="1905" w:type="dxa"/>
            <w:vAlign w:val="center"/>
          </w:tcPr>
          <w:p>
            <w:pPr>
              <w:spacing w:line="240" w:lineRule="atLeast"/>
              <w:jc w:val="left"/>
              <w:rPr>
                <w:rFonts w:ascii="宋体" w:hAnsi="宋体" w:cs="宋体"/>
                <w:color w:val="auto"/>
                <w:szCs w:val="21"/>
              </w:rPr>
            </w:pPr>
            <w:r>
              <w:rPr>
                <w:rFonts w:ascii="宋体" w:hAnsi="宋体"/>
                <w:color w:val="auto"/>
                <w:szCs w:val="21"/>
              </w:rPr>
              <w:t>工程招投</w:t>
            </w:r>
            <w:r>
              <w:rPr>
                <w:rFonts w:hint="eastAsia" w:ascii="宋体" w:hAnsi="宋体"/>
                <w:color w:val="auto"/>
                <w:szCs w:val="21"/>
              </w:rPr>
              <w:t>标</w:t>
            </w:r>
            <w:r>
              <w:rPr>
                <w:rFonts w:ascii="宋体" w:hAnsi="宋体"/>
                <w:color w:val="auto"/>
                <w:szCs w:val="21"/>
              </w:rPr>
              <w:t>与合同管理</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s="宋体"/>
                <w:color w:val="auto"/>
                <w:kern w:val="0"/>
                <w:szCs w:val="21"/>
              </w:rPr>
            </w:pPr>
            <w:r>
              <w:rPr>
                <w:rFonts w:hint="eastAsia" w:ascii="宋体" w:hAnsi="宋体"/>
                <w:color w:val="auto"/>
                <w:kern w:val="10"/>
                <w:szCs w:val="21"/>
              </w:rPr>
              <w:t>建设法规、建设工程招投标、合同管理等</w:t>
            </w:r>
            <w:r>
              <w:rPr>
                <w:rFonts w:ascii="宋体" w:hAnsi="宋体"/>
                <w:color w:val="auto"/>
                <w:kern w:val="10"/>
                <w:szCs w:val="21"/>
              </w:rPr>
              <w:t>。</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能够利用所学相关知识，熟练地编制招标文件及投标文件，并进行施工合同管理能力，能够熟练运用相关的法律、法规解决工程建设中的相关问题。助力培养学生的工程施工管理能力，为从事招投标及工程合同管理等建筑类职业岗位工作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34</w:t>
            </w:r>
          </w:p>
        </w:tc>
        <w:tc>
          <w:tcPr>
            <w:tcW w:w="1905" w:type="dxa"/>
            <w:vAlign w:val="center"/>
          </w:tcPr>
          <w:p>
            <w:pPr>
              <w:spacing w:line="240" w:lineRule="atLeast"/>
              <w:jc w:val="left"/>
              <w:rPr>
                <w:rFonts w:ascii="宋体" w:hAnsi="宋体"/>
                <w:color w:val="auto"/>
                <w:szCs w:val="21"/>
              </w:rPr>
            </w:pPr>
            <w:r>
              <w:rPr>
                <w:rFonts w:hint="eastAsia" w:ascii="宋体" w:hAnsi="宋体"/>
                <w:color w:val="auto"/>
                <w:szCs w:val="21"/>
              </w:rPr>
              <w:t>手工会计基础实训</w:t>
            </w:r>
          </w:p>
        </w:tc>
        <w:tc>
          <w:tcPr>
            <w:tcW w:w="1355"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期初设置，包括建立日记账、总账、明细账，登记期初余额；日常业务处理：包括根据经济业务填制会计凭证和登记各种账簿；期末处理；编制简单的资产负债表和利润表等。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 xml:space="preserve">熟悉会计助理岗位所涉及的各类原始单据、凭证的填制、审核以及基本账务流程处理，提高学生的实践操作能力和适应能力，为初步培养一名和会计人员所具备的各种工作作风和业务素质打下牢固的基础。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35</w:t>
            </w:r>
          </w:p>
        </w:tc>
        <w:tc>
          <w:tcPr>
            <w:tcW w:w="1905" w:type="dxa"/>
            <w:vAlign w:val="center"/>
          </w:tcPr>
          <w:p>
            <w:pPr>
              <w:spacing w:line="240" w:lineRule="atLeast"/>
              <w:jc w:val="left"/>
              <w:rPr>
                <w:rFonts w:ascii="宋体" w:hAnsi="宋体" w:cs="宋体"/>
                <w:color w:val="auto"/>
                <w:szCs w:val="21"/>
              </w:rPr>
            </w:pPr>
            <w:r>
              <w:rPr>
                <w:rFonts w:hint="eastAsia" w:ascii="宋体" w:hAnsi="宋体"/>
                <w:color w:val="auto"/>
                <w:szCs w:val="21"/>
              </w:rPr>
              <w:t>手工会计分岗实训</w:t>
            </w:r>
          </w:p>
        </w:tc>
        <w:tc>
          <w:tcPr>
            <w:tcW w:w="1355"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往来会计岗位、存货会计岗位、固定资产会计岗位、投资核算会计岗位、薪酬会计岗位、资金资本会计岗位、费用会计岗位和总账会计岗位核算等。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熟悉会计核算的具体任务、流程和职责，具体包括往来、存货、固定资产、职工薪酬、资金资本、费用、总账等核算岗位的主要内容，提高学生的会计岗位适应能力和职业素养。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36</w:t>
            </w:r>
          </w:p>
        </w:tc>
        <w:tc>
          <w:tcPr>
            <w:tcW w:w="1905" w:type="dxa"/>
            <w:vAlign w:val="center"/>
          </w:tcPr>
          <w:p>
            <w:pPr>
              <w:spacing w:line="240" w:lineRule="atLeast"/>
              <w:jc w:val="left"/>
              <w:rPr>
                <w:rFonts w:ascii="MS Mincho" w:hAnsi="MS Mincho" w:cs="MS Mincho"/>
                <w:color w:val="auto"/>
                <w:szCs w:val="21"/>
              </w:rPr>
            </w:pPr>
            <w:r>
              <w:rPr>
                <w:rFonts w:hint="eastAsia" w:ascii="MS Mincho" w:hAnsi="MS Mincho" w:cs="MS Mincho"/>
                <w:color w:val="auto"/>
                <w:szCs w:val="21"/>
              </w:rPr>
              <w:t>建筑企业财务信息化</w:t>
            </w:r>
            <w:r>
              <w:rPr>
                <w:rFonts w:hint="eastAsia" w:ascii="宋体" w:hAnsi="宋体"/>
                <w:color w:val="auto"/>
                <w:szCs w:val="21"/>
              </w:rPr>
              <w:t>实训</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建筑企业日常经济业务会计信息化处理，包括进行建账、初始设置、日常业务处理、期末处理的训练等。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了解</w:t>
            </w:r>
            <w:r>
              <w:rPr>
                <w:rFonts w:hint="eastAsia" w:ascii="宋体" w:hAnsi="宋体"/>
                <w:color w:val="auto"/>
                <w:kern w:val="10"/>
                <w:szCs w:val="21"/>
                <w:lang w:eastAsia="zh-CN"/>
              </w:rPr>
              <w:t>建筑财务数智化应用</w:t>
            </w:r>
            <w:r>
              <w:rPr>
                <w:rFonts w:hint="eastAsia" w:ascii="宋体" w:hAnsi="宋体"/>
                <w:color w:val="auto"/>
                <w:kern w:val="10"/>
                <w:szCs w:val="21"/>
              </w:rPr>
              <w:t>信息化业务的核算任务；熟悉电算化核算流程，具备的会计信息化业务核算能力，为初步培养一名合格会计人员所具备的各种工作作风和业务素质打下牢固基础。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37</w:t>
            </w:r>
          </w:p>
        </w:tc>
        <w:tc>
          <w:tcPr>
            <w:tcW w:w="1905" w:type="dxa"/>
            <w:vAlign w:val="center"/>
          </w:tcPr>
          <w:p>
            <w:pPr>
              <w:spacing w:line="240" w:lineRule="atLeast"/>
              <w:jc w:val="left"/>
              <w:rPr>
                <w:rFonts w:ascii="MS Mincho" w:hAnsi="MS Mincho" w:cs="MS Mincho"/>
                <w:color w:val="auto"/>
                <w:szCs w:val="21"/>
              </w:rPr>
            </w:pPr>
            <w:r>
              <w:rPr>
                <w:rFonts w:hint="eastAsia" w:ascii="MS Mincho" w:hAnsi="MS Mincho" w:cs="MS Mincho"/>
                <w:color w:val="auto"/>
                <w:szCs w:val="21"/>
              </w:rPr>
              <w:t>制造企业财务</w:t>
            </w:r>
            <w:r>
              <w:rPr>
                <w:rFonts w:ascii="MS Mincho" w:hAnsi="MS Mincho" w:cs="MS Mincho"/>
                <w:color w:val="auto"/>
                <w:szCs w:val="21"/>
              </w:rPr>
              <w:t>信息化</w:t>
            </w:r>
            <w:r>
              <w:rPr>
                <w:rFonts w:hint="eastAsia" w:ascii="MS Mincho" w:hAnsi="MS Mincho" w:cs="MS Mincho"/>
                <w:color w:val="auto"/>
                <w:szCs w:val="21"/>
              </w:rPr>
              <w:t>实训</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制造企业日常经济业务会计信息化处理，包括进行建账、初始设置、日常业务处理、期末处理的训练等。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了解制造企业会计信息化业务的核算任务；熟悉电算化核算流程，具备的会计信息化业务核算能力，为初步培养一名合格会计人员所具备的各种工作作风和业务素质打下牢固基础。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38</w:t>
            </w:r>
          </w:p>
        </w:tc>
        <w:tc>
          <w:tcPr>
            <w:tcW w:w="1905" w:type="dxa"/>
            <w:vAlign w:val="center"/>
          </w:tcPr>
          <w:p>
            <w:pPr>
              <w:spacing w:line="240" w:lineRule="atLeast"/>
              <w:jc w:val="left"/>
              <w:rPr>
                <w:rFonts w:ascii="MS Mincho" w:hAnsi="MS Mincho" w:cs="MS Mincho"/>
                <w:color w:val="auto"/>
                <w:szCs w:val="21"/>
              </w:rPr>
            </w:pPr>
            <w:r>
              <w:rPr>
                <w:rFonts w:hint="eastAsia" w:ascii="MS Mincho" w:hAnsi="MS Mincho" w:cs="MS Mincho"/>
                <w:color w:val="auto"/>
                <w:szCs w:val="21"/>
              </w:rPr>
              <w:t>建筑业税财一体化实训</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建筑企业的基本账务处理、增值税、企业所得税、个人所得税、其他税费的计算及申报等。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掌握建筑企业的账务处理和税额申报，培养学生依法纳税，合理筹划的意识。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39</w:t>
            </w:r>
          </w:p>
        </w:tc>
        <w:tc>
          <w:tcPr>
            <w:tcW w:w="1905" w:type="dxa"/>
            <w:vAlign w:val="center"/>
          </w:tcPr>
          <w:p>
            <w:pPr>
              <w:spacing w:line="240" w:lineRule="atLeast"/>
              <w:jc w:val="left"/>
              <w:rPr>
                <w:rFonts w:ascii="MS Mincho" w:hAnsi="MS Mincho" w:cs="MS Mincho"/>
                <w:color w:val="auto"/>
                <w:szCs w:val="21"/>
              </w:rPr>
            </w:pPr>
            <w:r>
              <w:rPr>
                <w:rFonts w:hint="eastAsia" w:ascii="MS Mincho" w:hAnsi="MS Mincho" w:cs="MS Mincho"/>
                <w:color w:val="auto"/>
                <w:szCs w:val="21"/>
              </w:rPr>
              <w:t>制造企业全流程实战实训</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制造企业的基本账务处理、增值税、企业所得税、个人所得税、其他税费的计算及申报等。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掌握制造企业的账务处理和税额申报，培养学生依法纳税，合理筹划的意识。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40</w:t>
            </w:r>
          </w:p>
        </w:tc>
        <w:tc>
          <w:tcPr>
            <w:tcW w:w="1905" w:type="dxa"/>
            <w:vAlign w:val="center"/>
          </w:tcPr>
          <w:p>
            <w:pPr>
              <w:spacing w:line="240" w:lineRule="atLeast"/>
              <w:jc w:val="left"/>
              <w:rPr>
                <w:rFonts w:ascii="宋体" w:hAnsi="宋体" w:cs="宋体"/>
                <w:color w:val="auto"/>
                <w:szCs w:val="21"/>
              </w:rPr>
            </w:pPr>
            <w:r>
              <w:rPr>
                <w:rFonts w:hint="eastAsia" w:ascii="宋体" w:hAnsi="宋体" w:cs="宋体"/>
                <w:color w:val="auto"/>
                <w:szCs w:val="21"/>
              </w:rPr>
              <w:t>建筑经营管理综合实训</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olor w:val="auto"/>
                <w:kern w:val="10"/>
                <w:szCs w:val="21"/>
              </w:rPr>
            </w:pPr>
            <w:r>
              <w:rPr>
                <w:rFonts w:hint="eastAsia" w:ascii="宋体" w:hAnsi="宋体"/>
                <w:color w:val="auto"/>
                <w:kern w:val="10"/>
                <w:szCs w:val="21"/>
              </w:rPr>
              <w:t>建筑企业经营、会计核算、财务管理和税务筹划等。</w:t>
            </w:r>
          </w:p>
        </w:tc>
        <w:tc>
          <w:tcPr>
            <w:tcW w:w="3322" w:type="dxa"/>
          </w:tcPr>
          <w:p>
            <w:pPr>
              <w:widowControl/>
              <w:spacing w:line="240" w:lineRule="atLeast"/>
              <w:rPr>
                <w:rFonts w:ascii="宋体" w:hAnsi="宋体"/>
                <w:color w:val="auto"/>
                <w:kern w:val="10"/>
                <w:szCs w:val="21"/>
              </w:rPr>
            </w:pPr>
            <w:r>
              <w:rPr>
                <w:rFonts w:hint="eastAsia" w:ascii="宋体" w:hAnsi="宋体"/>
                <w:color w:val="auto"/>
                <w:kern w:val="10"/>
                <w:szCs w:val="21"/>
              </w:rPr>
              <w:t>掌握建筑企业经营、会计核算、财务管理、筹资投资和市场营销等相关知识和实务技能,模拟建筑企业经营内、外部环境，分角色虚拟运营一家建筑企业，各角色密切配合、沟通，来规避风险，以实现建筑企业价值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widowControl/>
              <w:spacing w:line="240" w:lineRule="atLeast"/>
              <w:jc w:val="center"/>
              <w:rPr>
                <w:rFonts w:ascii="宋体" w:hAnsi="宋体" w:cs="宋体"/>
                <w:color w:val="auto"/>
                <w:kern w:val="0"/>
                <w:szCs w:val="21"/>
              </w:rPr>
            </w:pPr>
            <w:r>
              <w:rPr>
                <w:rFonts w:hint="eastAsia" w:ascii="宋体" w:hAnsi="宋体" w:cs="宋体"/>
                <w:color w:val="auto"/>
                <w:kern w:val="0"/>
                <w:szCs w:val="21"/>
              </w:rPr>
              <w:t>41</w:t>
            </w:r>
          </w:p>
        </w:tc>
        <w:tc>
          <w:tcPr>
            <w:tcW w:w="1905" w:type="dxa"/>
            <w:vAlign w:val="center"/>
          </w:tcPr>
          <w:p>
            <w:pPr>
              <w:spacing w:line="240" w:lineRule="atLeast"/>
              <w:jc w:val="left"/>
              <w:rPr>
                <w:rFonts w:ascii="宋体" w:hAnsi="宋体" w:cs="宋体"/>
                <w:iCs/>
                <w:color w:val="auto"/>
                <w:szCs w:val="21"/>
              </w:rPr>
            </w:pPr>
            <w:r>
              <w:rPr>
                <w:rFonts w:hint="eastAsia" w:ascii="宋体" w:hAnsi="宋体" w:cs="宋体"/>
                <w:iCs/>
                <w:color w:val="auto"/>
                <w:szCs w:val="21"/>
              </w:rPr>
              <w:t>企业经营管理沙盘实训</w:t>
            </w:r>
          </w:p>
        </w:tc>
        <w:tc>
          <w:tcPr>
            <w:tcW w:w="1355" w:type="dxa"/>
            <w:vAlign w:val="center"/>
          </w:tcPr>
          <w:p>
            <w:pPr>
              <w:spacing w:line="240" w:lineRule="atLeast"/>
              <w:jc w:val="center"/>
              <w:rPr>
                <w:color w:val="auto"/>
              </w:rPr>
            </w:pPr>
            <w:r>
              <w:rPr>
                <w:rFonts w:hint="eastAsia" w:ascii="宋体" w:hAnsi="宋体" w:cs="宋体"/>
                <w:color w:val="auto"/>
                <w:kern w:val="0"/>
                <w:szCs w:val="21"/>
              </w:rPr>
              <w:t>专业</w:t>
            </w:r>
            <w:r>
              <w:rPr>
                <w:rFonts w:ascii="宋体" w:hAnsi="宋体" w:cs="宋体"/>
                <w:color w:val="auto"/>
                <w:kern w:val="0"/>
                <w:szCs w:val="21"/>
              </w:rPr>
              <w:t>拓展课</w:t>
            </w:r>
          </w:p>
        </w:tc>
        <w:tc>
          <w:tcPr>
            <w:tcW w:w="2126"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企业决策、会计核算、财务管理和税务筹划等。</w:t>
            </w:r>
          </w:p>
        </w:tc>
        <w:tc>
          <w:tcPr>
            <w:tcW w:w="3322" w:type="dxa"/>
          </w:tcPr>
          <w:p>
            <w:pPr>
              <w:widowControl/>
              <w:spacing w:line="240" w:lineRule="atLeast"/>
              <w:rPr>
                <w:rFonts w:ascii="宋体" w:hAnsi="宋体" w:cs="宋体"/>
                <w:color w:val="auto"/>
                <w:kern w:val="0"/>
                <w:szCs w:val="21"/>
              </w:rPr>
            </w:pPr>
            <w:r>
              <w:rPr>
                <w:rFonts w:hint="eastAsia" w:ascii="宋体" w:hAnsi="宋体" w:cs="宋体"/>
                <w:color w:val="auto"/>
                <w:kern w:val="0"/>
                <w:szCs w:val="21"/>
              </w:rPr>
              <w:t>掌握企业决策、会计核算、财务管理、筹资投资和市场营销等相关知识和实务技能,模拟企业经营内、外部环境，分角色虚拟运营一家企业，各角色密切配合、沟通，来规避风险，以实现企业价值最大化。</w:t>
            </w:r>
          </w:p>
        </w:tc>
      </w:tr>
    </w:tbl>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br w:type="page"/>
      </w:r>
      <w:r>
        <w:rPr>
          <w:rFonts w:hint="eastAsia" w:ascii="黑体" w:eastAsia="黑体"/>
          <w:color w:val="auto"/>
          <w:kern w:val="2"/>
          <w:sz w:val="28"/>
          <w:szCs w:val="28"/>
        </w:rPr>
        <w:t>七、教学时间分配表</w:t>
      </w:r>
    </w:p>
    <w:p>
      <w:pPr>
        <w:pStyle w:val="7"/>
        <w:adjustRightInd w:val="0"/>
        <w:snapToGrid w:val="0"/>
        <w:spacing w:before="0" w:beforeAutospacing="0" w:after="0" w:afterAutospacing="0" w:line="360" w:lineRule="auto"/>
        <w:jc w:val="center"/>
        <w:rPr>
          <w:rFonts w:ascii="黑体" w:eastAsia="黑体"/>
          <w:color w:val="auto"/>
          <w:kern w:val="2"/>
          <w:sz w:val="28"/>
        </w:rPr>
      </w:pPr>
      <w:r>
        <w:rPr>
          <w:rFonts w:hint="eastAsia" w:cs="宋体"/>
          <w:bCs/>
          <w:color w:val="auto"/>
          <w:kern w:val="2"/>
        </w:rPr>
        <w:t>表6 教学时间分配表</w:t>
      </w:r>
    </w:p>
    <w:tbl>
      <w:tblPr>
        <w:tblStyle w:val="8"/>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33"/>
        <w:gridCol w:w="682"/>
        <w:gridCol w:w="584"/>
        <w:gridCol w:w="639"/>
        <w:gridCol w:w="646"/>
        <w:gridCol w:w="637"/>
        <w:gridCol w:w="630"/>
        <w:gridCol w:w="676"/>
        <w:gridCol w:w="591"/>
        <w:gridCol w:w="416"/>
        <w:gridCol w:w="417"/>
        <w:gridCol w:w="537"/>
        <w:gridCol w:w="646"/>
        <w:gridCol w:w="738"/>
        <w:gridCol w:w="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47" w:hRule="atLeast"/>
          <w:jc w:val="center"/>
        </w:trPr>
        <w:tc>
          <w:tcPr>
            <w:tcW w:w="131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ind w:firstLine="840" w:firstLineChars="300"/>
              <w:rPr>
                <w:rFonts w:ascii="宋体" w:hAnsi="宋体"/>
                <w:color w:val="auto"/>
                <w:sz w:val="18"/>
              </w:rPr>
            </w:pPr>
            <w:r>
              <w:rPr>
                <w:color w:val="auto"/>
                <w:sz w:val="28"/>
                <w:szCs w:val="28"/>
              </w:rPr>
              <mc:AlternateContent>
                <mc:Choice Requires="wpg">
                  <w:drawing>
                    <wp:anchor distT="0" distB="0" distL="114300" distR="114300" simplePos="0" relativeHeight="251659264" behindDoc="0" locked="0" layoutInCell="1" allowOverlap="1">
                      <wp:simplePos x="0" y="0"/>
                      <wp:positionH relativeFrom="column">
                        <wp:posOffset>42545</wp:posOffset>
                      </wp:positionH>
                      <wp:positionV relativeFrom="paragraph">
                        <wp:posOffset>-13970</wp:posOffset>
                      </wp:positionV>
                      <wp:extent cx="733425" cy="1038860"/>
                      <wp:effectExtent l="4445" t="2540" r="8890" b="10160"/>
                      <wp:wrapNone/>
                      <wp:docPr id="48" name="组合 48"/>
                      <wp:cNvGraphicFramePr/>
                      <a:graphic xmlns:a="http://schemas.openxmlformats.org/drawingml/2006/main">
                        <a:graphicData uri="http://schemas.microsoft.com/office/word/2010/wordprocessingGroup">
                          <wpg:wgp>
                            <wpg:cNvGrpSpPr/>
                            <wpg:grpSpPr>
                              <a:xfrm>
                                <a:off x="0" y="0"/>
                                <a:ext cx="733425" cy="1038860"/>
                                <a:chOff x="0" y="0"/>
                                <a:chExt cx="1372" cy="1295"/>
                              </a:xfrm>
                              <a:effectLst/>
                            </wpg:grpSpPr>
                            <wps:wsp>
                              <wps:cNvPr id="41" name="直接连接符 7"/>
                              <wps:cNvCnPr/>
                              <wps:spPr>
                                <a:xfrm>
                                  <a:off x="0" y="0"/>
                                  <a:ext cx="1372" cy="1295"/>
                                </a:xfrm>
                                <a:prstGeom prst="line">
                                  <a:avLst/>
                                </a:prstGeom>
                                <a:ln w="6350" cap="flat" cmpd="sng">
                                  <a:solidFill>
                                    <a:srgbClr val="000000"/>
                                  </a:solidFill>
                                  <a:prstDash val="solid"/>
                                  <a:headEnd type="none" w="med" len="med"/>
                                  <a:tailEnd type="none" w="med" len="med"/>
                                </a:ln>
                                <a:effectLst/>
                              </wps:spPr>
                              <wps:bodyPr/>
                            </wps:wsp>
                            <wps:wsp>
                              <wps:cNvPr id="42" name="直接连接符 8"/>
                              <wps:cNvCnPr/>
                              <wps:spPr>
                                <a:xfrm>
                                  <a:off x="0" y="0"/>
                                  <a:ext cx="686" cy="1295"/>
                                </a:xfrm>
                                <a:prstGeom prst="line">
                                  <a:avLst/>
                                </a:prstGeom>
                                <a:ln w="6350" cap="flat" cmpd="sng">
                                  <a:solidFill>
                                    <a:srgbClr val="000000"/>
                                  </a:solidFill>
                                  <a:prstDash val="solid"/>
                                  <a:headEnd type="none" w="med" len="med"/>
                                  <a:tailEnd type="none" w="med" len="med"/>
                                </a:ln>
                                <a:effectLst/>
                              </wps:spPr>
                              <wps:bodyPr/>
                            </wps:wsp>
                            <wps:wsp>
                              <wps:cNvPr id="43" name="文本框 9"/>
                              <wps:cNvSpPr txBox="1"/>
                              <wps:spPr>
                                <a:xfrm>
                                  <a:off x="413" y="101"/>
                                  <a:ext cx="197" cy="188"/>
                                </a:xfrm>
                                <a:prstGeom prst="rect">
                                  <a:avLst/>
                                </a:prstGeom>
                                <a:noFill/>
                                <a:ln w="9525">
                                  <a:noFill/>
                                </a:ln>
                                <a:effectLst/>
                              </wps:spPr>
                              <wps:txbx>
                                <w:txbxContent>
                                  <w:p>
                                    <w:pPr>
                                      <w:snapToGrid w:val="0"/>
                                      <w:rPr>
                                        <w:sz w:val="18"/>
                                      </w:rPr>
                                    </w:pPr>
                                    <w:r>
                                      <w:rPr>
                                        <w:rFonts w:hint="eastAsia"/>
                                        <w:sz w:val="18"/>
                                      </w:rPr>
                                      <w:t>内</w:t>
                                    </w:r>
                                  </w:p>
                                </w:txbxContent>
                              </wps:txbx>
                              <wps:bodyPr lIns="0" tIns="0" rIns="0" bIns="0" upright="1"/>
                            </wps:wsp>
                            <wps:wsp>
                              <wps:cNvPr id="44" name="文本框 10"/>
                              <wps:cNvSpPr txBox="1"/>
                              <wps:spPr>
                                <a:xfrm>
                                  <a:off x="921" y="341"/>
                                  <a:ext cx="197" cy="187"/>
                                </a:xfrm>
                                <a:prstGeom prst="rect">
                                  <a:avLst/>
                                </a:prstGeom>
                                <a:noFill/>
                                <a:ln w="9525">
                                  <a:noFill/>
                                </a:ln>
                                <a:effectLst/>
                              </wps:spPr>
                              <wps:txbx>
                                <w:txbxContent>
                                  <w:p>
                                    <w:pPr>
                                      <w:snapToGrid w:val="0"/>
                                      <w:rPr>
                                        <w:sz w:val="18"/>
                                      </w:rPr>
                                    </w:pPr>
                                    <w:r>
                                      <w:rPr>
                                        <w:rFonts w:hint="eastAsia"/>
                                        <w:sz w:val="18"/>
                                      </w:rPr>
                                      <w:t>容</w:t>
                                    </w:r>
                                  </w:p>
                                </w:txbxContent>
                              </wps:txbx>
                              <wps:bodyPr lIns="0" tIns="0" rIns="0" bIns="0" upright="1"/>
                            </wps:wsp>
                            <wps:wsp>
                              <wps:cNvPr id="45" name="文本框 11"/>
                              <wps:cNvSpPr txBox="1"/>
                              <wps:spPr>
                                <a:xfrm>
                                  <a:off x="561" y="706"/>
                                  <a:ext cx="187" cy="188"/>
                                </a:xfrm>
                                <a:prstGeom prst="rect">
                                  <a:avLst/>
                                </a:prstGeom>
                                <a:noFill/>
                                <a:ln w="9525">
                                  <a:noFill/>
                                </a:ln>
                                <a:effectLst/>
                              </wps:spPr>
                              <wps:txbx>
                                <w:txbxContent>
                                  <w:p>
                                    <w:pPr>
                                      <w:snapToGrid w:val="0"/>
                                      <w:rPr>
                                        <w:sz w:val="18"/>
                                      </w:rPr>
                                    </w:pPr>
                                    <w:r>
                                      <w:rPr>
                                        <w:rFonts w:hint="eastAsia"/>
                                        <w:sz w:val="18"/>
                                      </w:rPr>
                                      <w:t>学</w:t>
                                    </w:r>
                                  </w:p>
                                </w:txbxContent>
                              </wps:txbx>
                              <wps:bodyPr lIns="0" tIns="0" rIns="0" bIns="0" upright="1"/>
                            </wps:wsp>
                            <wps:wsp>
                              <wps:cNvPr id="12" name="文本框 12"/>
                              <wps:cNvSpPr txBox="1"/>
                              <wps:spPr>
                                <a:xfrm>
                                  <a:off x="778" y="986"/>
                                  <a:ext cx="198" cy="188"/>
                                </a:xfrm>
                                <a:prstGeom prst="rect">
                                  <a:avLst/>
                                </a:prstGeom>
                                <a:noFill/>
                                <a:ln w="9525">
                                  <a:noFill/>
                                </a:ln>
                                <a:effectLst/>
                              </wps:spPr>
                              <wps:txbx>
                                <w:txbxContent>
                                  <w:p>
                                    <w:pPr>
                                      <w:snapToGrid w:val="0"/>
                                      <w:rPr>
                                        <w:sz w:val="18"/>
                                      </w:rPr>
                                    </w:pPr>
                                    <w:r>
                                      <w:rPr>
                                        <w:rFonts w:hint="eastAsia"/>
                                        <w:sz w:val="18"/>
                                      </w:rPr>
                                      <w:t>期</w:t>
                                    </w:r>
                                  </w:p>
                                </w:txbxContent>
                              </wps:txbx>
                              <wps:bodyPr lIns="0" tIns="0" rIns="0" bIns="0" upright="1"/>
                            </wps:wsp>
                            <wps:wsp>
                              <wps:cNvPr id="13" name="文本框 13"/>
                              <wps:cNvSpPr txBox="1"/>
                              <wps:spPr>
                                <a:xfrm>
                                  <a:off x="132" y="706"/>
                                  <a:ext cx="197" cy="188"/>
                                </a:xfrm>
                                <a:prstGeom prst="rect">
                                  <a:avLst/>
                                </a:prstGeom>
                                <a:noFill/>
                                <a:ln w="9525">
                                  <a:noFill/>
                                </a:ln>
                                <a:effectLst/>
                              </wps:spPr>
                              <wps:txbx>
                                <w:txbxContent>
                                  <w:p>
                                    <w:pPr>
                                      <w:snapToGrid w:val="0"/>
                                      <w:rPr>
                                        <w:sz w:val="18"/>
                                      </w:rPr>
                                    </w:pPr>
                                    <w:r>
                                      <w:rPr>
                                        <w:rFonts w:hint="eastAsia"/>
                                        <w:sz w:val="18"/>
                                      </w:rPr>
                                      <w:t>学</w:t>
                                    </w:r>
                                  </w:p>
                                </w:txbxContent>
                              </wps:txbx>
                              <wps:bodyPr lIns="0" tIns="0" rIns="0" bIns="0" upright="1"/>
                            </wps:wsp>
                            <wps:wsp>
                              <wps:cNvPr id="14" name="文本框 14"/>
                              <wps:cNvSpPr txBox="1"/>
                              <wps:spPr>
                                <a:xfrm>
                                  <a:off x="206" y="986"/>
                                  <a:ext cx="198" cy="188"/>
                                </a:xfrm>
                                <a:prstGeom prst="rect">
                                  <a:avLst/>
                                </a:prstGeom>
                                <a:noFill/>
                                <a:ln w="9525">
                                  <a:noFill/>
                                </a:ln>
                                <a:effectLst/>
                              </wps:spPr>
                              <wps:txbx>
                                <w:txbxContent>
                                  <w:p>
                                    <w:pPr>
                                      <w:snapToGrid w:val="0"/>
                                      <w:rPr>
                                        <w:sz w:val="18"/>
                                      </w:rPr>
                                    </w:pPr>
                                    <w:r>
                                      <w:rPr>
                                        <w:rFonts w:hint="eastAsia"/>
                                        <w:sz w:val="18"/>
                                      </w:rPr>
                                      <w:t>年</w:t>
                                    </w:r>
                                  </w:p>
                                </w:txbxContent>
                              </wps:txbx>
                              <wps:bodyPr lIns="0" tIns="0" rIns="0" bIns="0" upright="1"/>
                            </wps:wsp>
                          </wpg:wgp>
                        </a:graphicData>
                      </a:graphic>
                    </wp:anchor>
                  </w:drawing>
                </mc:Choice>
                <mc:Fallback>
                  <w:pict>
                    <v:group id="_x0000_s1026" o:spid="_x0000_s1026" o:spt="203" style="position:absolute;left:0pt;margin-left:3.35pt;margin-top:-1.1pt;height:81.8pt;width:57.75pt;z-index:251659264;mso-width-relative:page;mso-height-relative:page;" coordsize="1372,1295" o:gfxdata="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Dzrg+3XAAAACAEAAA8AAAAAAAAAAQAgAAAAIgAAAGRycy9kb3ducmV2LnhtbFBL&#10;AQIUABQAAAAIAIdO4kARzkzlhgMAACQRAAAOAAAAAAAAAAEAIAAAACYBAABkcnMvZTJvRG9jLnht&#10;bFBLBQYAAAAABgAGAFkBAAAeBwAAAAA=&#10;">
                      <o:lock v:ext="edit" aspectratio="f"/>
                      <v:line id="直接连接符 7" o:spid="_x0000_s1026" o:spt="20" style="position:absolute;left:0;top:0;height:1295;width:1372;" filled="f" stroked="t" coordsize="21600,21600" o:gfxdata="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M0V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8" o:spid="_x0000_s1026" o:spt="20" style="position:absolute;left:0;top:0;height:1295;width:686;" filled="f" stroked="t" coordsize="21600,21600" o:gfxdata="UEsDBAoAAAAAAIdO4kAAAAAAAAAAAAAAAAAEAAAAZHJzL1BLAwQUAAAACACHTuJAZLZTYrsAAADb&#10;AAAADwAAAGRycy9kb3ducmV2LnhtbEWPQUvEMBSE74L/ITzBm5t0s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ZT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文本框 9" o:spid="_x0000_s1026" o:spt="202" type="#_x0000_t202" style="position:absolute;left:413;top:101;height:188;width:197;"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内</w:t>
                              </w:r>
                            </w:p>
                          </w:txbxContent>
                        </v:textbox>
                      </v:shape>
                      <v:shape id="文本框 10" o:spid="_x0000_s1026" o:spt="202" type="#_x0000_t202" style="position:absolute;left:921;top:341;height:187;width:197;"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容</w:t>
                              </w:r>
                            </w:p>
                          </w:txbxContent>
                        </v:textbox>
                      </v:shape>
                      <v:shape id="文本框 11" o:spid="_x0000_s1026" o:spt="202" type="#_x0000_t202" style="position:absolute;left:561;top:706;height:188;width:187;"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学</w:t>
                              </w:r>
                            </w:p>
                          </w:txbxContent>
                        </v:textbox>
                      </v:shape>
                      <v:shape id="_x0000_s1026" o:spid="_x0000_s1026" o:spt="202" type="#_x0000_t202" style="position:absolute;left:778;top:986;height:188;width:198;"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期</w:t>
                              </w:r>
                            </w:p>
                          </w:txbxContent>
                        </v:textbox>
                      </v:shape>
                      <v:shape id="_x0000_s1026" o:spid="_x0000_s1026" o:spt="202" type="#_x0000_t202" style="position:absolute;left:132;top:706;height:188;width:19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学</w:t>
                              </w:r>
                            </w:p>
                          </w:txbxContent>
                        </v:textbox>
                      </v:shape>
                      <v:shape id="_x0000_s1026" o:spid="_x0000_s1026" o:spt="202" type="#_x0000_t202" style="position:absolute;left:206;top:986;height:188;width:198;"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年</w:t>
                              </w:r>
                            </w:p>
                          </w:txbxContent>
                        </v:textbox>
                      </v:shape>
                    </v:group>
                  </w:pict>
                </mc:Fallback>
              </mc:AlternateConten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课堂</w:t>
            </w:r>
          </w:p>
          <w:p>
            <w:pPr>
              <w:spacing w:line="0" w:lineRule="atLeast"/>
              <w:jc w:val="center"/>
              <w:rPr>
                <w:rFonts w:ascii="宋体" w:hAnsi="宋体"/>
                <w:color w:val="auto"/>
                <w:sz w:val="24"/>
              </w:rPr>
            </w:pPr>
            <w:r>
              <w:rPr>
                <w:rFonts w:hint="eastAsia" w:ascii="宋体" w:hAnsi="宋体"/>
                <w:color w:val="auto"/>
              </w:rPr>
              <w:t>教学</w:t>
            </w: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r>
              <w:rPr>
                <w:rFonts w:hint="eastAsia" w:ascii="宋体" w:hAnsi="宋体"/>
                <w:color w:val="auto"/>
              </w:rPr>
              <w:t>实训</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停课式集中排课</w:t>
            </w: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课程</w:t>
            </w:r>
          </w:p>
          <w:p>
            <w:pPr>
              <w:spacing w:line="0" w:lineRule="atLeast"/>
              <w:jc w:val="center"/>
              <w:rPr>
                <w:rFonts w:ascii="宋体" w:hAnsi="宋体"/>
                <w:color w:val="auto"/>
                <w:sz w:val="24"/>
              </w:rPr>
            </w:pPr>
            <w:r>
              <w:rPr>
                <w:rFonts w:hint="eastAsia" w:ascii="宋体" w:hAnsi="宋体"/>
                <w:color w:val="auto"/>
              </w:rPr>
              <w:t>设计</w:t>
            </w:r>
          </w:p>
        </w:tc>
        <w:tc>
          <w:tcPr>
            <w:tcW w:w="6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rPr>
            </w:pPr>
            <w:r>
              <w:rPr>
                <w:rFonts w:hint="eastAsia" w:ascii="宋体" w:hAnsi="宋体"/>
                <w:color w:val="auto"/>
              </w:rPr>
              <w:t>假期社</w:t>
            </w:r>
            <w:r>
              <w:rPr>
                <w:rFonts w:ascii="宋体" w:hAnsi="宋体"/>
                <w:color w:val="auto"/>
              </w:rPr>
              <w:t>会实践</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工学</w:t>
            </w:r>
          </w:p>
          <w:p>
            <w:pPr>
              <w:spacing w:line="0" w:lineRule="atLeast"/>
              <w:jc w:val="center"/>
              <w:rPr>
                <w:rFonts w:ascii="宋体" w:hAnsi="宋体"/>
                <w:color w:val="auto"/>
              </w:rPr>
            </w:pPr>
            <w:r>
              <w:rPr>
                <w:rFonts w:hint="eastAsia" w:ascii="宋体" w:hAnsi="宋体"/>
                <w:color w:val="auto"/>
              </w:rPr>
              <w:t>交替</w:t>
            </w: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r>
              <w:rPr>
                <w:rFonts w:hint="eastAsia" w:ascii="宋体" w:hAnsi="宋体"/>
                <w:iCs/>
                <w:color w:val="auto"/>
              </w:rPr>
              <w:t>顶岗实习</w:t>
            </w: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r>
              <w:rPr>
                <w:rFonts w:hint="eastAsia" w:ascii="宋体" w:hAnsi="宋体"/>
                <w:iCs/>
                <w:color w:val="auto"/>
              </w:rPr>
              <w:t>毕业设计</w:t>
            </w: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Cs/>
                <w:color w:val="auto"/>
              </w:rPr>
            </w:pPr>
            <w:r>
              <w:rPr>
                <w:rFonts w:hint="eastAsia" w:ascii="宋体" w:hAnsi="宋体"/>
                <w:iCs/>
                <w:color w:val="auto"/>
              </w:rPr>
              <w:t>毕业答辩</w:t>
            </w: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新生专业思想教育、军训</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考试</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运动会及法定假日</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总计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6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一</w:t>
            </w:r>
          </w:p>
        </w:tc>
        <w:tc>
          <w:tcPr>
            <w:tcW w:w="6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一</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13</w:t>
            </w: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r>
              <w:rPr>
                <w:rFonts w:hint="eastAsia" w:ascii="宋体" w:hAnsi="宋体"/>
                <w:color w:val="auto"/>
              </w:rPr>
              <w:t>1</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
                <w:color w:val="auto"/>
                <w:u w:val="single"/>
              </w:rPr>
            </w:pP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1</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olor w:val="auto"/>
                <w:sz w:val="24"/>
              </w:rPr>
            </w:pPr>
          </w:p>
        </w:tc>
        <w:tc>
          <w:tcPr>
            <w:tcW w:w="6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二</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r>
              <w:rPr>
                <w:rFonts w:ascii="宋体" w:hAnsi="宋体"/>
                <w:color w:val="auto"/>
              </w:rPr>
              <w:t>7</w:t>
            </w: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r>
              <w:rPr>
                <w:rFonts w:hint="eastAsia" w:ascii="宋体" w:hAnsi="宋体"/>
                <w:color w:val="auto"/>
              </w:rPr>
              <w:t>1</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rPr>
            </w:pPr>
            <w:r>
              <w:rPr>
                <w:rFonts w:hint="eastAsia" w:ascii="宋体" w:hAnsi="宋体"/>
                <w:color w:val="auto"/>
              </w:rPr>
              <w:t>1</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
                <w:color w:val="auto"/>
                <w:u w:val="single"/>
              </w:rPr>
            </w:pP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w:t>
            </w:r>
            <w:r>
              <w:rPr>
                <w:rFonts w:ascii="宋体" w:hAnsi="宋体"/>
                <w:color w:val="auto"/>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6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二</w:t>
            </w:r>
          </w:p>
        </w:tc>
        <w:tc>
          <w:tcPr>
            <w:tcW w:w="6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三</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16</w:t>
            </w: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r>
              <w:rPr>
                <w:rFonts w:hint="eastAsia"/>
                <w:color w:val="auto"/>
              </w:rPr>
              <w:t>2</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i/>
                <w:color w:val="auto"/>
                <w:u w:val="singl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
                <w:color w:val="auto"/>
                <w:u w:val="single"/>
              </w:rPr>
            </w:pP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1</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olor w:val="auto"/>
                <w:sz w:val="24"/>
              </w:rPr>
            </w:pPr>
          </w:p>
        </w:tc>
        <w:tc>
          <w:tcPr>
            <w:tcW w:w="6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四</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16</w:t>
            </w: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r>
              <w:rPr>
                <w:rFonts w:hint="eastAsia" w:ascii="宋体" w:hAnsi="宋体"/>
                <w:color w:val="auto"/>
              </w:rPr>
              <w:t>2</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i/>
                <w:color w:val="auto"/>
                <w:u w:val="single"/>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
                <w:color w:val="auto"/>
                <w:u w:val="single"/>
              </w:rPr>
            </w:pP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
                <w:color w:val="auto"/>
                <w:u w:val="single"/>
              </w:rPr>
            </w:pP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6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三</w:t>
            </w:r>
          </w:p>
        </w:tc>
        <w:tc>
          <w:tcPr>
            <w:tcW w:w="6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五</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iCs/>
                <w:color w:val="auto"/>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r>
              <w:rPr>
                <w:rFonts w:hint="eastAsia" w:ascii="宋体" w:hAnsi="宋体"/>
                <w:iCs/>
                <w:color w:val="auto"/>
              </w:rPr>
              <w:t>1</w:t>
            </w:r>
            <w:r>
              <w:rPr>
                <w:rFonts w:ascii="宋体" w:hAnsi="宋体"/>
                <w:iCs/>
                <w:color w:val="auto"/>
              </w:rPr>
              <w:t>7</w:t>
            </w: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Cs/>
                <w:color w:val="auto"/>
              </w:rPr>
            </w:pP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olor w:val="auto"/>
                <w:sz w:val="24"/>
              </w:rPr>
            </w:pPr>
          </w:p>
        </w:tc>
        <w:tc>
          <w:tcPr>
            <w:tcW w:w="6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sz w:val="24"/>
              </w:rPr>
            </w:pPr>
            <w:r>
              <w:rPr>
                <w:rFonts w:hint="eastAsia" w:ascii="宋体" w:hAnsi="宋体"/>
                <w:color w:val="auto"/>
              </w:rPr>
              <w:t>六</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iCs/>
                <w:color w:val="auto"/>
              </w:rPr>
            </w:pP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r>
              <w:rPr>
                <w:rFonts w:hint="eastAsia" w:ascii="宋体" w:hAnsi="宋体"/>
                <w:iCs/>
                <w:color w:val="auto"/>
              </w:rPr>
              <w:t>10</w:t>
            </w: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iCs/>
                <w:color w:val="auto"/>
              </w:rPr>
            </w:pPr>
            <w:r>
              <w:rPr>
                <w:rFonts w:ascii="宋体" w:hAnsi="宋体"/>
                <w:iCs/>
                <w:color w:val="auto"/>
              </w:rPr>
              <w:t>7</w:t>
            </w: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iCs/>
                <w:color w:val="auto"/>
              </w:rPr>
            </w:pPr>
            <w:r>
              <w:rPr>
                <w:rFonts w:hint="eastAsia" w:ascii="宋体" w:hAnsi="宋体"/>
                <w:iCs/>
                <w:color w:val="auto"/>
              </w:rPr>
              <w:t>2</w:t>
            </w: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4" w:hRule="atLeast"/>
          <w:jc w:val="center"/>
        </w:trPr>
        <w:tc>
          <w:tcPr>
            <w:tcW w:w="131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总计</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62</w:t>
            </w:r>
          </w:p>
        </w:tc>
        <w:tc>
          <w:tcPr>
            <w:tcW w:w="6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color w:val="auto"/>
              </w:rPr>
            </w:pPr>
            <w:r>
              <w:rPr>
                <w:rFonts w:hint="eastAsia" w:ascii="宋体" w:hAnsi="宋体"/>
                <w:color w:val="auto"/>
              </w:rPr>
              <w:t>6</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rPr>
            </w:pPr>
            <w:r>
              <w:rPr>
                <w:rFonts w:hint="eastAsia" w:ascii="宋体" w:hAnsi="宋体"/>
                <w:color w:val="auto"/>
              </w:rPr>
              <w:t>2</w:t>
            </w:r>
          </w:p>
        </w:tc>
        <w:tc>
          <w:tcPr>
            <w:tcW w:w="6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17</w:t>
            </w:r>
          </w:p>
        </w:tc>
        <w:tc>
          <w:tcPr>
            <w:tcW w:w="5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10</w:t>
            </w:r>
          </w:p>
        </w:tc>
        <w:tc>
          <w:tcPr>
            <w:tcW w:w="4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7</w:t>
            </w:r>
          </w:p>
        </w:tc>
        <w:tc>
          <w:tcPr>
            <w:tcW w:w="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rPr>
            </w:pPr>
            <w:r>
              <w:rPr>
                <w:rFonts w:hint="eastAsia" w:ascii="宋体" w:hAnsi="宋体"/>
                <w:color w:val="auto"/>
              </w:rPr>
              <w:t>2</w:t>
            </w:r>
          </w:p>
        </w:tc>
        <w:tc>
          <w:tcPr>
            <w:tcW w:w="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hint="eastAsia" w:ascii="宋体" w:hAnsi="宋体"/>
                <w:color w:val="auto"/>
              </w:rPr>
              <w:t>2</w:t>
            </w:r>
          </w:p>
        </w:tc>
        <w:tc>
          <w:tcPr>
            <w:tcW w:w="6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6</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6</w:t>
            </w:r>
          </w:p>
        </w:tc>
        <w:tc>
          <w:tcPr>
            <w:tcW w:w="6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0" w:lineRule="atLeast"/>
              <w:jc w:val="center"/>
              <w:rPr>
                <w:rFonts w:ascii="宋体" w:hAnsi="宋体"/>
                <w:color w:val="auto"/>
              </w:rPr>
            </w:pPr>
            <w:r>
              <w:rPr>
                <w:rFonts w:ascii="宋体" w:hAnsi="宋体"/>
                <w:color w:val="auto"/>
              </w:rPr>
              <w:t>120</w:t>
            </w:r>
          </w:p>
        </w:tc>
      </w:tr>
    </w:tbl>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备注：停课式集中排课、实训期间：全院性公共</w:t>
      </w:r>
      <w:r>
        <w:rPr>
          <w:color w:val="auto"/>
          <w:kern w:val="2"/>
        </w:rPr>
        <w:t>基础</w:t>
      </w:r>
      <w:r>
        <w:rPr>
          <w:rFonts w:hint="eastAsia"/>
          <w:color w:val="auto"/>
          <w:kern w:val="2"/>
        </w:rPr>
        <w:t>选修课不停。</w:t>
      </w:r>
    </w:p>
    <w:p>
      <w:pPr>
        <w:pStyle w:val="7"/>
        <w:adjustRightInd w:val="0"/>
        <w:snapToGrid w:val="0"/>
        <w:spacing w:before="0" w:beforeAutospacing="0" w:after="0" w:afterAutospacing="0" w:line="500" w:lineRule="exact"/>
        <w:ind w:firstLine="480" w:firstLineChars="200"/>
        <w:jc w:val="both"/>
        <w:rPr>
          <w:color w:val="auto"/>
          <w:kern w:val="2"/>
        </w:rPr>
        <w:sectPr>
          <w:headerReference r:id="rId3" w:type="default"/>
          <w:pgSz w:w="11906" w:h="16838"/>
          <w:pgMar w:top="1440" w:right="1440" w:bottom="1440" w:left="1440" w:header="964" w:footer="992" w:gutter="284"/>
          <w:cols w:space="720" w:num="1"/>
          <w:docGrid w:type="lines" w:linePitch="312" w:charSpace="0"/>
        </w:sectPr>
      </w:pP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八、课程设置与教学进程表</w:t>
      </w:r>
    </w:p>
    <w:p>
      <w:pPr>
        <w:pStyle w:val="7"/>
        <w:adjustRightInd w:val="0"/>
        <w:snapToGrid w:val="0"/>
        <w:spacing w:before="0" w:beforeAutospacing="0" w:after="0" w:afterAutospacing="0" w:line="240" w:lineRule="atLeast"/>
        <w:ind w:left="420" w:leftChars="200"/>
        <w:jc w:val="center"/>
        <w:rPr>
          <w:rFonts w:ascii="黑体" w:eastAsia="黑体"/>
          <w:color w:val="auto"/>
          <w:kern w:val="2"/>
          <w:sz w:val="28"/>
          <w:szCs w:val="28"/>
        </w:rPr>
      </w:pPr>
      <w:r>
        <w:rPr>
          <w:rFonts w:hint="eastAsia" w:cs="宋体"/>
          <w:bCs/>
          <w:color w:val="auto"/>
          <w:kern w:val="2"/>
        </w:rPr>
        <w:t>表7 课程设置与教学进程表</w:t>
      </w:r>
    </w:p>
    <w:tbl>
      <w:tblPr>
        <w:tblStyle w:val="8"/>
        <w:tblW w:w="15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4"/>
        <w:gridCol w:w="625"/>
        <w:gridCol w:w="1421"/>
        <w:gridCol w:w="91"/>
        <w:gridCol w:w="2627"/>
        <w:gridCol w:w="709"/>
        <w:gridCol w:w="850"/>
        <w:gridCol w:w="709"/>
        <w:gridCol w:w="850"/>
        <w:gridCol w:w="851"/>
        <w:gridCol w:w="850"/>
        <w:gridCol w:w="851"/>
        <w:gridCol w:w="709"/>
        <w:gridCol w:w="708"/>
        <w:gridCol w:w="2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8" w:hRule="atLeast"/>
          <w:jc w:val="center"/>
        </w:trPr>
        <w:tc>
          <w:tcPr>
            <w:tcW w:w="1209" w:type="dxa"/>
            <w:gridSpan w:val="2"/>
            <w:vMerge w:val="restart"/>
            <w:tcBorders>
              <w:top w:val="single" w:color="000000"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课程</w:t>
            </w:r>
          </w:p>
          <w:p>
            <w:pPr>
              <w:spacing w:line="0" w:lineRule="atLeast"/>
              <w:jc w:val="center"/>
              <w:rPr>
                <w:rFonts w:ascii="宋体" w:hAnsi="宋体"/>
                <w:color w:val="auto"/>
                <w:szCs w:val="21"/>
              </w:rPr>
            </w:pPr>
            <w:r>
              <w:rPr>
                <w:rFonts w:hint="eastAsia" w:ascii="宋体" w:hAnsi="宋体"/>
                <w:color w:val="auto"/>
                <w:szCs w:val="21"/>
              </w:rPr>
              <w:t>类别</w:t>
            </w:r>
          </w:p>
        </w:tc>
        <w:tc>
          <w:tcPr>
            <w:tcW w:w="1421" w:type="dxa"/>
            <w:vMerge w:val="restart"/>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课程代码</w:t>
            </w:r>
          </w:p>
        </w:tc>
        <w:tc>
          <w:tcPr>
            <w:tcW w:w="2718" w:type="dxa"/>
            <w:gridSpan w:val="2"/>
            <w:vMerge w:val="restart"/>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课程名称</w:t>
            </w:r>
          </w:p>
        </w:tc>
        <w:tc>
          <w:tcPr>
            <w:tcW w:w="709" w:type="dxa"/>
            <w:vMerge w:val="restart"/>
            <w:tcBorders>
              <w:top w:val="single" w:color="000000" w:sz="4" w:space="0"/>
              <w:left w:val="single" w:color="000000" w:sz="12" w:space="0"/>
              <w:right w:val="single" w:color="000000" w:sz="4" w:space="0"/>
            </w:tcBorders>
            <w:vAlign w:val="center"/>
          </w:tcPr>
          <w:p>
            <w:pPr>
              <w:spacing w:line="0" w:lineRule="atLeast"/>
              <w:jc w:val="center"/>
              <w:rPr>
                <w:rFonts w:ascii="宋体" w:hAnsi="宋体"/>
                <w:b/>
                <w:color w:val="auto"/>
                <w:szCs w:val="21"/>
              </w:rPr>
            </w:pPr>
            <w:r>
              <w:rPr>
                <w:rFonts w:hint="eastAsia" w:ascii="宋体" w:hAnsi="宋体"/>
                <w:color w:val="auto"/>
                <w:szCs w:val="21"/>
              </w:rPr>
              <w:t>学分</w:t>
            </w:r>
          </w:p>
        </w:tc>
        <w:tc>
          <w:tcPr>
            <w:tcW w:w="850" w:type="dxa"/>
            <w:vMerge w:val="restart"/>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总</w:t>
            </w:r>
          </w:p>
          <w:p>
            <w:pPr>
              <w:spacing w:line="0" w:lineRule="atLeast"/>
              <w:jc w:val="center"/>
              <w:rPr>
                <w:rFonts w:ascii="宋体" w:hAnsi="宋体"/>
                <w:color w:val="auto"/>
                <w:szCs w:val="21"/>
              </w:rPr>
            </w:pPr>
            <w:r>
              <w:rPr>
                <w:rFonts w:hint="eastAsia" w:ascii="宋体" w:hAnsi="宋体"/>
                <w:color w:val="auto"/>
                <w:szCs w:val="21"/>
              </w:rPr>
              <w:t>学</w:t>
            </w:r>
          </w:p>
          <w:p>
            <w:pPr>
              <w:spacing w:line="0" w:lineRule="atLeast"/>
              <w:jc w:val="center"/>
              <w:rPr>
                <w:rFonts w:ascii="宋体" w:hAnsi="宋体"/>
                <w:color w:val="auto"/>
                <w:szCs w:val="21"/>
              </w:rPr>
            </w:pPr>
            <w:r>
              <w:rPr>
                <w:rFonts w:hint="eastAsia" w:ascii="宋体" w:hAnsi="宋体"/>
                <w:color w:val="auto"/>
                <w:szCs w:val="21"/>
              </w:rPr>
              <w:t>时</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实践学时</w:t>
            </w:r>
          </w:p>
        </w:tc>
        <w:tc>
          <w:tcPr>
            <w:tcW w:w="4819" w:type="dxa"/>
            <w:gridSpan w:val="6"/>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按学年及学期分配（周学时）</w:t>
            </w:r>
          </w:p>
        </w:tc>
        <w:tc>
          <w:tcPr>
            <w:tcW w:w="2579" w:type="dxa"/>
            <w:vMerge w:val="restart"/>
            <w:tcBorders>
              <w:top w:val="single" w:color="000000"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1" w:hRule="atLeast"/>
          <w:jc w:val="center"/>
        </w:trPr>
        <w:tc>
          <w:tcPr>
            <w:tcW w:w="1209" w:type="dxa"/>
            <w:gridSpan w:val="2"/>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p>
        </w:tc>
        <w:tc>
          <w:tcPr>
            <w:tcW w:w="2718" w:type="dxa"/>
            <w:gridSpan w:val="2"/>
            <w:vMerge w:val="continue"/>
            <w:tcBorders>
              <w:top w:val="single" w:color="000000" w:sz="4" w:space="0"/>
              <w:left w:val="single" w:color="000000" w:sz="4" w:space="0"/>
              <w:bottom w:val="single" w:color="000000" w:sz="4" w:space="0"/>
              <w:right w:val="single" w:color="000000" w:sz="2" w:space="0"/>
            </w:tcBorders>
            <w:vAlign w:val="center"/>
          </w:tcPr>
          <w:p>
            <w:pPr>
              <w:widowControl/>
              <w:jc w:val="center"/>
              <w:rPr>
                <w:rFonts w:ascii="宋体" w:hAnsi="宋体"/>
                <w:color w:val="auto"/>
                <w:szCs w:val="21"/>
              </w:rPr>
            </w:pPr>
          </w:p>
        </w:tc>
        <w:tc>
          <w:tcPr>
            <w:tcW w:w="709" w:type="dxa"/>
            <w:vMerge w:val="continue"/>
            <w:tcBorders>
              <w:left w:val="single" w:color="000000" w:sz="12" w:space="0"/>
              <w:right w:val="single" w:color="000000" w:sz="4" w:space="0"/>
            </w:tcBorders>
            <w:vAlign w:val="center"/>
          </w:tcPr>
          <w:p>
            <w:pPr>
              <w:widowControl/>
              <w:jc w:val="center"/>
              <w:rPr>
                <w:rFonts w:ascii="宋体" w:hAnsi="宋体"/>
                <w:b/>
                <w:color w:val="auto"/>
                <w:szCs w:val="21"/>
              </w:rPr>
            </w:pPr>
          </w:p>
        </w:tc>
        <w:tc>
          <w:tcPr>
            <w:tcW w:w="850" w:type="dxa"/>
            <w:vMerge w:val="continue"/>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color w:val="auto"/>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第一学年</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第二学年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第三学年</w:t>
            </w:r>
          </w:p>
        </w:tc>
        <w:tc>
          <w:tcPr>
            <w:tcW w:w="2579" w:type="dxa"/>
            <w:vMerge w:val="continue"/>
            <w:tcBorders>
              <w:left w:val="single" w:color="000000" w:sz="4" w:space="0"/>
              <w:right w:val="single" w:color="000000" w:sz="4" w:space="0"/>
            </w:tcBorders>
            <w:vAlign w:val="center"/>
          </w:tcPr>
          <w:p>
            <w:pPr>
              <w:widowControl/>
              <w:jc w:val="center"/>
              <w:rPr>
                <w:rFonts w:ascii="宋体" w:hAnsi="宋体"/>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1" w:hRule="atLeast"/>
          <w:jc w:val="center"/>
        </w:trPr>
        <w:tc>
          <w:tcPr>
            <w:tcW w:w="1209" w:type="dxa"/>
            <w:gridSpan w:val="2"/>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p>
        </w:tc>
        <w:tc>
          <w:tcPr>
            <w:tcW w:w="2718" w:type="dxa"/>
            <w:gridSpan w:val="2"/>
            <w:vMerge w:val="continue"/>
            <w:tcBorders>
              <w:top w:val="single" w:color="000000" w:sz="4" w:space="0"/>
              <w:left w:val="single" w:color="000000" w:sz="4" w:space="0"/>
              <w:bottom w:val="single" w:color="000000" w:sz="4" w:space="0"/>
              <w:right w:val="single" w:color="000000" w:sz="2" w:space="0"/>
            </w:tcBorders>
            <w:vAlign w:val="center"/>
          </w:tcPr>
          <w:p>
            <w:pPr>
              <w:widowControl/>
              <w:jc w:val="center"/>
              <w:rPr>
                <w:rFonts w:ascii="宋体" w:hAnsi="宋体"/>
                <w:color w:val="auto"/>
                <w:szCs w:val="21"/>
              </w:rPr>
            </w:pPr>
          </w:p>
        </w:tc>
        <w:tc>
          <w:tcPr>
            <w:tcW w:w="709" w:type="dxa"/>
            <w:vMerge w:val="continue"/>
            <w:tcBorders>
              <w:left w:val="single" w:color="000000" w:sz="12" w:space="0"/>
              <w:right w:val="single" w:color="000000" w:sz="4" w:space="0"/>
            </w:tcBorders>
            <w:vAlign w:val="center"/>
          </w:tcPr>
          <w:p>
            <w:pPr>
              <w:widowControl/>
              <w:jc w:val="center"/>
              <w:rPr>
                <w:rFonts w:ascii="宋体" w:hAnsi="宋体"/>
                <w:b/>
                <w:color w:val="auto"/>
                <w:szCs w:val="21"/>
              </w:rPr>
            </w:pPr>
          </w:p>
        </w:tc>
        <w:tc>
          <w:tcPr>
            <w:tcW w:w="850" w:type="dxa"/>
            <w:vMerge w:val="continue"/>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color w:val="auto"/>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四</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六</w:t>
            </w:r>
          </w:p>
        </w:tc>
        <w:tc>
          <w:tcPr>
            <w:tcW w:w="2579" w:type="dxa"/>
            <w:vMerge w:val="restart"/>
            <w:tcBorders>
              <w:left w:val="single" w:color="000000" w:sz="4" w:space="0"/>
              <w:right w:val="single" w:color="000000" w:sz="4" w:space="0"/>
            </w:tcBorders>
            <w:vAlign w:val="center"/>
          </w:tcPr>
          <w:p>
            <w:pPr>
              <w:widowControl/>
              <w:jc w:val="center"/>
              <w:rPr>
                <w:rFonts w:ascii="宋体" w:hAnsi="宋体"/>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1" w:hRule="atLeast"/>
          <w:jc w:val="center"/>
        </w:trPr>
        <w:tc>
          <w:tcPr>
            <w:tcW w:w="1209" w:type="dxa"/>
            <w:gridSpan w:val="2"/>
            <w:vMerge w:val="continue"/>
            <w:tcBorders>
              <w:left w:val="single" w:color="000000" w:sz="4" w:space="0"/>
              <w:bottom w:val="single" w:color="auto" w:sz="4" w:space="0"/>
              <w:right w:val="single" w:color="000000" w:sz="4" w:space="0"/>
            </w:tcBorders>
            <w:vAlign w:val="center"/>
          </w:tcPr>
          <w:p>
            <w:pPr>
              <w:widowControl/>
              <w:jc w:val="center"/>
              <w:rPr>
                <w:rFonts w:ascii="宋体" w:hAnsi="宋体"/>
                <w:color w:val="auto"/>
                <w:szCs w:val="21"/>
              </w:rPr>
            </w:pPr>
          </w:p>
        </w:tc>
        <w:tc>
          <w:tcPr>
            <w:tcW w:w="14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p>
        </w:tc>
        <w:tc>
          <w:tcPr>
            <w:tcW w:w="2718" w:type="dxa"/>
            <w:gridSpan w:val="2"/>
            <w:vMerge w:val="continue"/>
            <w:tcBorders>
              <w:top w:val="single" w:color="000000" w:sz="4" w:space="0"/>
              <w:left w:val="single" w:color="000000" w:sz="4" w:space="0"/>
              <w:bottom w:val="single" w:color="000000" w:sz="4" w:space="0"/>
              <w:right w:val="single" w:color="000000" w:sz="2" w:space="0"/>
            </w:tcBorders>
            <w:vAlign w:val="center"/>
          </w:tcPr>
          <w:p>
            <w:pPr>
              <w:widowControl/>
              <w:jc w:val="center"/>
              <w:rPr>
                <w:rFonts w:ascii="宋体" w:hAnsi="宋体"/>
                <w:color w:val="auto"/>
                <w:szCs w:val="21"/>
              </w:rPr>
            </w:pPr>
          </w:p>
        </w:tc>
        <w:tc>
          <w:tcPr>
            <w:tcW w:w="709" w:type="dxa"/>
            <w:vMerge w:val="continue"/>
            <w:tcBorders>
              <w:left w:val="single" w:color="000000" w:sz="12" w:space="0"/>
              <w:bottom w:val="single" w:color="000000" w:sz="4" w:space="0"/>
              <w:right w:val="single" w:color="000000" w:sz="4" w:space="0"/>
            </w:tcBorders>
            <w:vAlign w:val="center"/>
          </w:tcPr>
          <w:p>
            <w:pPr>
              <w:widowControl/>
              <w:jc w:val="center"/>
              <w:rPr>
                <w:rFonts w:ascii="宋体" w:hAnsi="宋体"/>
                <w:b/>
                <w:color w:val="auto"/>
                <w:szCs w:val="21"/>
              </w:rPr>
            </w:pPr>
          </w:p>
        </w:tc>
        <w:tc>
          <w:tcPr>
            <w:tcW w:w="850" w:type="dxa"/>
            <w:vMerge w:val="continue"/>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color w:val="auto"/>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1</w:t>
            </w:r>
            <w:r>
              <w:rPr>
                <w:rFonts w:ascii="宋体" w:hAnsi="宋体"/>
                <w:color w:val="auto"/>
                <w:szCs w:val="21"/>
              </w:rPr>
              <w:t>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16</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ascii="宋体" w:hAnsi="宋体"/>
                <w:color w:val="auto"/>
                <w:szCs w:val="21"/>
              </w:rPr>
              <w:t>17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szCs w:val="21"/>
              </w:rPr>
            </w:pPr>
            <w:r>
              <w:rPr>
                <w:rFonts w:ascii="宋体" w:hAnsi="宋体"/>
                <w:color w:val="auto"/>
                <w:szCs w:val="21"/>
              </w:rPr>
              <w:t>17</w:t>
            </w:r>
          </w:p>
        </w:tc>
        <w:tc>
          <w:tcPr>
            <w:tcW w:w="2579"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6" w:hRule="exact"/>
          <w:jc w:val="center"/>
        </w:trPr>
        <w:tc>
          <w:tcPr>
            <w:tcW w:w="584" w:type="dxa"/>
            <w:vMerge w:val="restart"/>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公共</w:t>
            </w:r>
            <w:r>
              <w:rPr>
                <w:rFonts w:ascii="宋体" w:hAnsi="宋体"/>
                <w:color w:val="auto"/>
                <w:szCs w:val="21"/>
              </w:rPr>
              <w:t>基础</w:t>
            </w:r>
          </w:p>
          <w:p>
            <w:pPr>
              <w:spacing w:line="0" w:lineRule="atLeast"/>
              <w:jc w:val="center"/>
              <w:rPr>
                <w:rFonts w:ascii="宋体" w:hAnsi="宋体"/>
                <w:color w:val="auto"/>
                <w:szCs w:val="21"/>
              </w:rPr>
            </w:pPr>
            <w:r>
              <w:rPr>
                <w:rFonts w:hint="eastAsia" w:ascii="宋体" w:hAnsi="宋体"/>
                <w:color w:val="auto"/>
                <w:szCs w:val="21"/>
              </w:rPr>
              <w:t>课</w:t>
            </w:r>
          </w:p>
          <w:p>
            <w:pPr>
              <w:spacing w:line="0" w:lineRule="atLeast"/>
              <w:jc w:val="center"/>
              <w:rPr>
                <w:rFonts w:ascii="宋体" w:hAnsi="宋体"/>
                <w:color w:val="auto"/>
                <w:szCs w:val="21"/>
              </w:rPr>
            </w:pPr>
          </w:p>
        </w:tc>
        <w:tc>
          <w:tcPr>
            <w:tcW w:w="625" w:type="dxa"/>
            <w:vMerge w:val="restart"/>
            <w:tcBorders>
              <w:top w:val="single" w:color="000000"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必</w:t>
            </w:r>
          </w:p>
          <w:p>
            <w:pPr>
              <w:spacing w:line="0" w:lineRule="atLeast"/>
              <w:jc w:val="center"/>
              <w:rPr>
                <w:rFonts w:ascii="宋体" w:hAnsi="宋体"/>
                <w:color w:val="auto"/>
                <w:szCs w:val="21"/>
              </w:rPr>
            </w:pPr>
            <w:r>
              <w:rPr>
                <w:rFonts w:hint="eastAsia" w:ascii="宋体" w:hAnsi="宋体"/>
                <w:color w:val="auto"/>
                <w:szCs w:val="21"/>
              </w:rPr>
              <w:t>修</w:t>
            </w:r>
          </w:p>
          <w:p>
            <w:pPr>
              <w:spacing w:line="0" w:lineRule="atLeast"/>
              <w:jc w:val="center"/>
              <w:rPr>
                <w:rFonts w:ascii="宋体" w:hAnsi="宋体"/>
                <w:color w:val="auto"/>
                <w:szCs w:val="21"/>
              </w:rPr>
            </w:pPr>
            <w:r>
              <w:rPr>
                <w:rFonts w:hint="eastAsia" w:ascii="宋体" w:hAnsi="宋体"/>
                <w:color w:val="auto"/>
                <w:szCs w:val="21"/>
              </w:rPr>
              <w:t>课</w:t>
            </w: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100000001</w:t>
            </w:r>
          </w:p>
        </w:tc>
        <w:tc>
          <w:tcPr>
            <w:tcW w:w="2718" w:type="dxa"/>
            <w:gridSpan w:val="2"/>
            <w:tcBorders>
              <w:top w:val="single" w:color="000000" w:sz="4" w:space="0"/>
              <w:left w:val="single" w:color="000000" w:sz="4" w:space="0"/>
              <w:bottom w:val="single" w:color="000000"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思想道德与法治</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2"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100000002</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rPr>
                <w:rFonts w:ascii="宋体" w:hAnsi="宋体"/>
                <w:color w:val="auto"/>
                <w:szCs w:val="21"/>
              </w:rPr>
            </w:pPr>
            <w:r>
              <w:rPr>
                <w:rFonts w:hint="eastAsia" w:ascii="宋体" w:hAnsi="宋体"/>
                <w:color w:val="auto"/>
                <w:szCs w:val="21"/>
              </w:rPr>
              <w:t>毛泽东思想和中国特色社会主义理论体系概论</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100000003</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体育（Ⅰ）</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100000004</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体育（Ⅱ）</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r>
              <w:rPr>
                <w:rFonts w:hint="eastAsia" w:ascii="宋体" w:hAnsi="宋体"/>
                <w:color w:val="auto"/>
                <w:sz w:val="18"/>
                <w:szCs w:val="18"/>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100000005</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体育（Ⅲ）</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r>
              <w:rPr>
                <w:rFonts w:hint="eastAsia" w:ascii="宋体" w:hAnsi="宋体"/>
                <w:color w:val="auto"/>
                <w:sz w:val="18"/>
                <w:szCs w:val="18"/>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100000007</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军事理论</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100000008</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军事技能</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W</w:t>
            </w:r>
          </w:p>
        </w:tc>
        <w:tc>
          <w:tcPr>
            <w:tcW w:w="851" w:type="dxa"/>
            <w:vAlign w:val="center"/>
          </w:tcPr>
          <w:p>
            <w:pPr>
              <w:widowControl/>
              <w:jc w:val="center"/>
              <w:rPr>
                <w:rFonts w:ascii="宋体" w:hAnsi="宋体" w:cs="宋体"/>
                <w:color w:val="auto"/>
                <w:kern w:val="0"/>
                <w:sz w:val="18"/>
                <w:szCs w:val="18"/>
              </w:rPr>
            </w:pPr>
          </w:p>
        </w:tc>
        <w:tc>
          <w:tcPr>
            <w:tcW w:w="850"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right w:val="single" w:color="000000" w:sz="4" w:space="0"/>
            </w:tcBorders>
            <w:vAlign w:val="center"/>
          </w:tcPr>
          <w:p>
            <w:pPr>
              <w:spacing w:line="0" w:lineRule="atLeast"/>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100000009</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形势与政策</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851" w:type="dxa"/>
            <w:vAlign w:val="center"/>
          </w:tcPr>
          <w:p>
            <w:pPr>
              <w:jc w:val="center"/>
              <w:rPr>
                <w:color w:val="auto"/>
                <w:sz w:val="18"/>
                <w:szCs w:val="18"/>
              </w:rPr>
            </w:pPr>
            <w:r>
              <w:rPr>
                <w:rFonts w:hint="eastAsia" w:ascii="宋体" w:hAnsi="宋体" w:cs="宋体"/>
                <w:color w:val="auto"/>
                <w:kern w:val="0"/>
                <w:sz w:val="18"/>
                <w:szCs w:val="18"/>
              </w:rPr>
              <w:t>0.5▲</w:t>
            </w:r>
          </w:p>
        </w:tc>
        <w:tc>
          <w:tcPr>
            <w:tcW w:w="850" w:type="dxa"/>
            <w:vAlign w:val="center"/>
          </w:tcPr>
          <w:p>
            <w:pPr>
              <w:jc w:val="center"/>
              <w:rPr>
                <w:color w:val="auto"/>
                <w:sz w:val="18"/>
                <w:szCs w:val="18"/>
              </w:rPr>
            </w:pPr>
            <w:r>
              <w:rPr>
                <w:rFonts w:hint="eastAsia" w:ascii="宋体" w:hAnsi="宋体" w:cs="宋体"/>
                <w:color w:val="auto"/>
                <w:kern w:val="0"/>
                <w:sz w:val="18"/>
                <w:szCs w:val="18"/>
              </w:rPr>
              <w:t>0.5▲</w:t>
            </w:r>
          </w:p>
        </w:tc>
        <w:tc>
          <w:tcPr>
            <w:tcW w:w="851" w:type="dxa"/>
            <w:vAlign w:val="center"/>
          </w:tcPr>
          <w:p>
            <w:pPr>
              <w:jc w:val="center"/>
              <w:rPr>
                <w:color w:val="auto"/>
                <w:sz w:val="18"/>
                <w:szCs w:val="18"/>
              </w:rPr>
            </w:pPr>
            <w:r>
              <w:rPr>
                <w:rFonts w:hint="eastAsia" w:ascii="宋体" w:hAnsi="宋体" w:cs="宋体"/>
                <w:color w:val="auto"/>
                <w:kern w:val="0"/>
                <w:sz w:val="18"/>
                <w:szCs w:val="18"/>
              </w:rPr>
              <w:t>0.5▲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8"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100000010</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ascii="宋体" w:hAnsi="宋体"/>
                <w:color w:val="auto"/>
                <w:sz w:val="18"/>
                <w:szCs w:val="18"/>
              </w:rPr>
            </w:pPr>
            <w:r>
              <w:rPr>
                <w:rFonts w:hint="eastAsia" w:ascii="宋体" w:hAnsi="宋体"/>
                <w:color w:val="auto"/>
                <w:szCs w:val="21"/>
              </w:rPr>
              <w:t>大学生职业发展与就业指导</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8</w:t>
            </w:r>
          </w:p>
        </w:tc>
        <w:tc>
          <w:tcPr>
            <w:tcW w:w="850" w:type="dxa"/>
            <w:vAlign w:val="center"/>
          </w:tcPr>
          <w:p>
            <w:pPr>
              <w:spacing w:line="0" w:lineRule="atLeast"/>
              <w:jc w:val="center"/>
              <w:rPr>
                <w:rFonts w:ascii="宋体" w:hAnsi="宋体"/>
                <w:color w:val="auto"/>
                <w:sz w:val="15"/>
                <w:szCs w:val="15"/>
              </w:rPr>
            </w:pPr>
            <w:r>
              <w:rPr>
                <w:rFonts w:hint="eastAsia" w:ascii="宋体" w:hAnsi="宋体"/>
                <w:color w:val="auto"/>
                <w:sz w:val="15"/>
                <w:szCs w:val="15"/>
              </w:rPr>
              <w:t>（1）</w:t>
            </w:r>
            <w:r>
              <w:rPr>
                <w:rFonts w:hint="eastAsia" w:ascii="Calibri" w:hAnsi="Calibri"/>
                <w:color w:val="auto"/>
                <w:sz w:val="18"/>
                <w:szCs w:val="18"/>
              </w:rPr>
              <w:t>▲</w:t>
            </w:r>
          </w:p>
        </w:tc>
        <w:tc>
          <w:tcPr>
            <w:tcW w:w="851" w:type="dxa"/>
            <w:vAlign w:val="center"/>
          </w:tcPr>
          <w:p>
            <w:pPr>
              <w:spacing w:line="0" w:lineRule="atLeast"/>
              <w:jc w:val="center"/>
              <w:rPr>
                <w:rFonts w:ascii="宋体" w:hAnsi="宋体"/>
                <w:color w:val="auto"/>
                <w:sz w:val="15"/>
                <w:szCs w:val="15"/>
              </w:rPr>
            </w:pPr>
          </w:p>
        </w:tc>
        <w:tc>
          <w:tcPr>
            <w:tcW w:w="850" w:type="dxa"/>
            <w:vAlign w:val="center"/>
          </w:tcPr>
          <w:p>
            <w:pPr>
              <w:jc w:val="center"/>
              <w:rPr>
                <w:color w:val="auto"/>
                <w:sz w:val="18"/>
                <w:szCs w:val="18"/>
              </w:rPr>
            </w:pPr>
          </w:p>
        </w:tc>
        <w:tc>
          <w:tcPr>
            <w:tcW w:w="851" w:type="dxa"/>
            <w:vAlign w:val="center"/>
          </w:tcPr>
          <w:p>
            <w:pPr>
              <w:rPr>
                <w:color w:val="auto"/>
                <w:sz w:val="18"/>
                <w:szCs w:val="18"/>
              </w:rPr>
            </w:pPr>
            <w:r>
              <w:rPr>
                <w:rFonts w:hint="eastAsia" w:ascii="宋体" w:hAnsi="宋体"/>
                <w:color w:val="auto"/>
                <w:sz w:val="15"/>
                <w:szCs w:val="15"/>
              </w:rPr>
              <w:t>（1）</w:t>
            </w:r>
            <w:r>
              <w:rPr>
                <w:rFonts w:hint="eastAsia" w:ascii="Calibri" w:hAnsi="Calibri"/>
                <w:color w:val="auto"/>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100000011</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widowControl/>
              <w:jc w:val="center"/>
              <w:rPr>
                <w:rFonts w:ascii="宋体" w:hAnsi="宋体"/>
                <w:color w:val="auto"/>
                <w:szCs w:val="21"/>
              </w:rPr>
            </w:pPr>
            <w:r>
              <w:rPr>
                <w:rFonts w:hint="eastAsia" w:ascii="宋体" w:hAnsi="宋体"/>
                <w:color w:val="auto"/>
                <w:szCs w:val="21"/>
              </w:rPr>
              <w:t>大学生心理健康教育</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5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0"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vAlign w:val="center"/>
          </w:tcPr>
          <w:p>
            <w:pPr>
              <w:spacing w:line="0" w:lineRule="atLeast"/>
              <w:jc w:val="left"/>
              <w:rPr>
                <w:rFonts w:ascii="宋体" w:hAnsi="宋体"/>
                <w:color w:val="auto"/>
                <w:szCs w:val="21"/>
              </w:rPr>
            </w:pPr>
            <w:r>
              <w:rPr>
                <w:rFonts w:hint="eastAsia" w:ascii="宋体" w:hAnsi="宋体" w:cs="宋体"/>
                <w:color w:val="auto"/>
                <w:szCs w:val="21"/>
              </w:rPr>
              <w:t>线上线下结合，线下1-2次讲座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100000012</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cs="宋体"/>
                <w:i w:val="0"/>
                <w:iCs w:val="0"/>
                <w:color w:val="auto"/>
                <w:kern w:val="0"/>
                <w:sz w:val="20"/>
                <w:szCs w:val="20"/>
                <w:u w:val="none"/>
                <w:lang w:val="en-US" w:eastAsia="zh-CN" w:bidi="ar"/>
              </w:rPr>
              <w:t>“四史”教育（</w:t>
            </w:r>
            <w:r>
              <w:rPr>
                <w:rFonts w:hint="eastAsia" w:ascii="宋体" w:hAnsi="宋体" w:eastAsia="宋体" w:cs="宋体"/>
                <w:i w:val="0"/>
                <w:iCs w:val="0"/>
                <w:color w:val="auto"/>
                <w:kern w:val="0"/>
                <w:sz w:val="20"/>
                <w:szCs w:val="20"/>
                <w:u w:val="none"/>
                <w:lang w:val="en-US" w:eastAsia="zh-CN" w:bidi="ar"/>
              </w:rPr>
              <w:t>中国共产党简史</w:t>
            </w:r>
            <w:r>
              <w:rPr>
                <w:rFonts w:hint="eastAsia" w:ascii="宋体" w:hAnsi="宋体" w:cs="宋体"/>
                <w:i w:val="0"/>
                <w:iCs w:val="0"/>
                <w:color w:val="auto"/>
                <w:kern w:val="0"/>
                <w:sz w:val="20"/>
                <w:szCs w:val="20"/>
                <w:u w:val="none"/>
                <w:lang w:val="en-US" w:eastAsia="zh-CN" w:bidi="ar"/>
              </w:rPr>
              <w:t>）</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cs="Times New Roman" w:eastAsiaTheme="minorEastAsia"/>
                <w:color w:val="auto"/>
                <w:kern w:val="2"/>
                <w:sz w:val="21"/>
                <w:szCs w:val="21"/>
                <w:lang w:val="en-US" w:eastAsia="zh-CN" w:bidi="ar-SA"/>
              </w:rPr>
            </w:pPr>
            <w:r>
              <w:rPr>
                <w:rFonts w:hint="eastAsia" w:ascii="宋体" w:hAnsi="宋体"/>
                <w:color w:val="auto"/>
                <w:szCs w:val="21"/>
                <w:lang w:val="en-US" w:eastAsia="zh-CN"/>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cs="Times New Roman" w:eastAsiaTheme="minorEastAsia"/>
                <w:color w:val="auto"/>
                <w:kern w:val="2"/>
                <w:sz w:val="21"/>
                <w:szCs w:val="21"/>
                <w:lang w:val="en-US" w:eastAsia="zh-CN" w:bidi="ar-SA"/>
              </w:rPr>
            </w:pPr>
            <w:r>
              <w:rPr>
                <w:rFonts w:hint="eastAsia" w:ascii="宋体" w:hAnsi="宋体"/>
                <w:color w:val="auto"/>
                <w:szCs w:val="21"/>
                <w:lang w:val="en-US" w:eastAsia="zh-CN"/>
              </w:rPr>
              <w:t>0</w:t>
            </w:r>
          </w:p>
        </w:tc>
        <w:tc>
          <w:tcPr>
            <w:tcW w:w="850" w:type="dxa"/>
            <w:vAlign w:val="center"/>
          </w:tcPr>
          <w:p>
            <w:pPr>
              <w:widowControl/>
              <w:jc w:val="center"/>
              <w:rPr>
                <w:rFonts w:hint="eastAsia" w:ascii="宋体" w:hAnsi="宋体" w:cs="宋体"/>
                <w:color w:val="auto"/>
                <w:kern w:val="0"/>
                <w:sz w:val="18"/>
                <w:szCs w:val="18"/>
              </w:rPr>
            </w:pPr>
            <w:r>
              <w:rPr>
                <w:rFonts w:hint="eastAsia" w:ascii="宋体" w:hAnsi="宋体" w:eastAsia="宋体" w:cs="Times New Roman"/>
                <w:color w:val="auto"/>
                <w:sz w:val="18"/>
                <w:szCs w:val="18"/>
                <w:lang w:val="en-US" w:eastAsia="zh-CN"/>
              </w:rPr>
              <w:t>1</w:t>
            </w:r>
            <w:r>
              <w:rPr>
                <w:rFonts w:hint="eastAsia" w:ascii="Calibri" w:hAnsi="Calibri" w:eastAsia="宋体" w:cs="Times New Roman"/>
                <w:color w:val="auto"/>
                <w:sz w:val="18"/>
                <w:szCs w:val="18"/>
              </w:rPr>
              <w:t>▲</w:t>
            </w:r>
          </w:p>
        </w:tc>
        <w:tc>
          <w:tcPr>
            <w:tcW w:w="851" w:type="dxa"/>
            <w:vAlign w:val="center"/>
          </w:tcPr>
          <w:p>
            <w:pPr>
              <w:widowControl/>
              <w:jc w:val="center"/>
              <w:rPr>
                <w:rFonts w:hint="eastAsia" w:ascii="宋体" w:hAnsi="宋体" w:cs="宋体"/>
                <w:color w:val="auto"/>
                <w:kern w:val="0"/>
                <w:sz w:val="18"/>
                <w:szCs w:val="18"/>
              </w:rPr>
            </w:pPr>
          </w:p>
        </w:tc>
        <w:tc>
          <w:tcPr>
            <w:tcW w:w="850" w:type="dxa"/>
            <w:vAlign w:val="center"/>
          </w:tcPr>
          <w:p>
            <w:pPr>
              <w:widowControl/>
              <w:jc w:val="center"/>
              <w:rPr>
                <w:rFonts w:hint="eastAsia" w:ascii="宋体" w:hAnsi="宋体" w:cs="宋体"/>
                <w:color w:val="auto"/>
                <w:kern w:val="0"/>
                <w:sz w:val="18"/>
                <w:szCs w:val="18"/>
              </w:rPr>
            </w:pPr>
          </w:p>
        </w:tc>
        <w:tc>
          <w:tcPr>
            <w:tcW w:w="851" w:type="dxa"/>
            <w:vAlign w:val="center"/>
          </w:tcPr>
          <w:p>
            <w:pPr>
              <w:widowControl/>
              <w:jc w:val="center"/>
              <w:rPr>
                <w:rFonts w:hint="eastAsia" w:ascii="宋体" w:hAnsi="宋体" w:cs="宋体"/>
                <w:color w:val="auto"/>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vAlign w:val="center"/>
          </w:tcPr>
          <w:p>
            <w:pPr>
              <w:spacing w:line="0" w:lineRule="atLeast"/>
              <w:jc w:val="left"/>
              <w:rPr>
                <w:rFonts w:hint="eastAsia"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0"/>
                <w:szCs w:val="20"/>
                <w:u w:val="none"/>
                <w:lang w:val="en-US" w:eastAsia="zh-CN" w:bidi="ar"/>
              </w:rPr>
              <w:t>100000013</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spacing w:line="0" w:lineRule="atLeast"/>
              <w:jc w:val="center"/>
              <w:rPr>
                <w:rFonts w:hint="eastAsia" w:ascii="宋体" w:hAnsi="宋体" w:cs="Times New Roman" w:eastAsiaTheme="minorEastAsia"/>
                <w:color w:val="auto"/>
                <w:kern w:val="2"/>
                <w:sz w:val="21"/>
                <w:szCs w:val="21"/>
                <w:lang w:val="en-US" w:eastAsia="zh-CN" w:bidi="ar-SA"/>
              </w:rPr>
            </w:pPr>
            <w:r>
              <w:rPr>
                <w:rFonts w:hint="eastAsia" w:ascii="宋体" w:hAnsi="宋体"/>
                <w:color w:val="auto"/>
                <w:szCs w:val="21"/>
                <w:lang w:val="en-US" w:eastAsia="zh-CN"/>
              </w:rPr>
              <w:t>习近平新时代中国特色社会主义思想概论</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16</w:t>
            </w:r>
          </w:p>
        </w:tc>
        <w:tc>
          <w:tcPr>
            <w:tcW w:w="850" w:type="dxa"/>
            <w:vAlign w:val="center"/>
          </w:tcPr>
          <w:p>
            <w:pPr>
              <w:widowControl/>
              <w:jc w:val="center"/>
              <w:rPr>
                <w:rFonts w:hint="eastAsia" w:ascii="宋体" w:hAnsi="宋体" w:cs="宋体"/>
                <w:color w:val="auto"/>
                <w:kern w:val="0"/>
                <w:sz w:val="18"/>
                <w:szCs w:val="18"/>
              </w:rPr>
            </w:pPr>
          </w:p>
        </w:tc>
        <w:tc>
          <w:tcPr>
            <w:tcW w:w="851" w:type="dxa"/>
            <w:vAlign w:val="center"/>
          </w:tcPr>
          <w:p>
            <w:pPr>
              <w:widowControl/>
              <w:jc w:val="center"/>
              <w:rPr>
                <w:rFonts w:hint="eastAsia" w:ascii="宋体" w:hAnsi="宋体" w:cs="宋体"/>
                <w:color w:val="auto"/>
                <w:kern w:val="0"/>
                <w:sz w:val="18"/>
                <w:szCs w:val="18"/>
              </w:rPr>
            </w:pPr>
            <w:r>
              <w:rPr>
                <w:rFonts w:hint="eastAsia" w:ascii="宋体" w:hAnsi="宋体" w:eastAsia="宋体" w:cs="Times New Roman"/>
                <w:color w:val="auto"/>
                <w:sz w:val="18"/>
                <w:szCs w:val="18"/>
              </w:rPr>
              <w:t>3</w:t>
            </w:r>
            <w:r>
              <w:rPr>
                <w:rFonts w:hint="eastAsia" w:ascii="Calibri" w:hAnsi="Calibri" w:eastAsia="宋体" w:cs="Times New Roman"/>
                <w:color w:val="auto"/>
                <w:sz w:val="18"/>
                <w:szCs w:val="18"/>
              </w:rPr>
              <w:t>▲</w:t>
            </w:r>
          </w:p>
        </w:tc>
        <w:tc>
          <w:tcPr>
            <w:tcW w:w="850" w:type="dxa"/>
            <w:vAlign w:val="center"/>
          </w:tcPr>
          <w:p>
            <w:pPr>
              <w:widowControl/>
              <w:jc w:val="center"/>
              <w:rPr>
                <w:rFonts w:hint="eastAsia" w:ascii="宋体" w:hAnsi="宋体" w:cs="宋体"/>
                <w:color w:val="auto"/>
                <w:kern w:val="0"/>
                <w:sz w:val="18"/>
                <w:szCs w:val="18"/>
              </w:rPr>
            </w:pPr>
          </w:p>
        </w:tc>
        <w:tc>
          <w:tcPr>
            <w:tcW w:w="851" w:type="dxa"/>
            <w:vAlign w:val="center"/>
          </w:tcPr>
          <w:p>
            <w:pPr>
              <w:widowControl/>
              <w:jc w:val="center"/>
              <w:rPr>
                <w:rFonts w:hint="eastAsia" w:ascii="宋体" w:hAnsi="宋体" w:cs="宋体"/>
                <w:color w:val="auto"/>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vAlign w:val="center"/>
          </w:tcPr>
          <w:p>
            <w:pPr>
              <w:spacing w:line="0" w:lineRule="atLeast"/>
              <w:jc w:val="left"/>
              <w:rPr>
                <w:rFonts w:hint="eastAsia"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100000041</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widowControl/>
              <w:jc w:val="center"/>
              <w:rPr>
                <w:rFonts w:ascii="宋体" w:hAnsi="宋体"/>
                <w:color w:val="auto"/>
                <w:szCs w:val="21"/>
              </w:rPr>
            </w:pPr>
            <w:r>
              <w:rPr>
                <w:rFonts w:hint="eastAsia" w:ascii="宋体" w:hAnsi="宋体"/>
                <w:color w:val="auto"/>
                <w:szCs w:val="21"/>
              </w:rPr>
              <w:t>劳动教育</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vAlign w:val="center"/>
          </w:tcPr>
          <w:p>
            <w:pPr>
              <w:widowControl/>
              <w:jc w:val="center"/>
              <w:rPr>
                <w:rFonts w:ascii="宋体" w:hAnsi="宋体" w:cs="宋体"/>
                <w:color w:val="auto"/>
                <w:kern w:val="0"/>
                <w:szCs w:val="21"/>
              </w:rPr>
            </w:pPr>
            <w:r>
              <w:rPr>
                <w:rFonts w:hint="eastAsia" w:ascii="宋体" w:hAnsi="宋体"/>
                <w:color w:val="auto"/>
                <w:szCs w:val="21"/>
              </w:rPr>
              <w:t>（1）</w:t>
            </w:r>
          </w:p>
        </w:tc>
        <w:tc>
          <w:tcPr>
            <w:tcW w:w="851" w:type="dxa"/>
            <w:vAlign w:val="center"/>
          </w:tcPr>
          <w:p>
            <w:pPr>
              <w:widowControl/>
              <w:jc w:val="center"/>
              <w:rPr>
                <w:rFonts w:ascii="宋体" w:hAnsi="宋体" w:cs="宋体"/>
                <w:color w:val="auto"/>
                <w:kern w:val="0"/>
                <w:sz w:val="18"/>
                <w:szCs w:val="18"/>
              </w:rPr>
            </w:pPr>
          </w:p>
        </w:tc>
        <w:tc>
          <w:tcPr>
            <w:tcW w:w="850" w:type="dxa"/>
            <w:vAlign w:val="center"/>
          </w:tcPr>
          <w:p>
            <w:pPr>
              <w:widowControl/>
              <w:jc w:val="center"/>
              <w:rPr>
                <w:rFonts w:ascii="宋体" w:hAnsi="宋体" w:cs="宋体"/>
                <w:color w:val="auto"/>
                <w:kern w:val="0"/>
                <w:sz w:val="18"/>
                <w:szCs w:val="18"/>
              </w:rPr>
            </w:pPr>
          </w:p>
        </w:tc>
        <w:tc>
          <w:tcPr>
            <w:tcW w:w="851" w:type="dxa"/>
            <w:vAlign w:val="center"/>
          </w:tcPr>
          <w:p>
            <w:pPr>
              <w:widowControl/>
              <w:jc w:val="center"/>
              <w:rPr>
                <w:rFonts w:ascii="宋体" w:hAnsi="宋体" w:cs="宋体"/>
                <w:color w:val="auto"/>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100000042</w:t>
            </w:r>
          </w:p>
        </w:tc>
        <w:tc>
          <w:tcPr>
            <w:tcW w:w="2718" w:type="dxa"/>
            <w:gridSpan w:val="2"/>
            <w:tcBorders>
              <w:top w:val="single" w:color="000000" w:sz="4" w:space="0"/>
              <w:left w:val="single" w:color="000000" w:sz="4" w:space="0"/>
              <w:bottom w:val="single" w:color="000000" w:sz="4" w:space="0"/>
              <w:right w:val="single" w:color="000000" w:sz="2" w:space="0"/>
            </w:tcBorders>
            <w:vAlign w:val="center"/>
          </w:tcPr>
          <w:p>
            <w:pPr>
              <w:widowControl/>
              <w:jc w:val="center"/>
              <w:rPr>
                <w:rFonts w:ascii="宋体" w:hAnsi="宋体"/>
                <w:color w:val="auto"/>
                <w:szCs w:val="21"/>
              </w:rPr>
            </w:pPr>
            <w:r>
              <w:rPr>
                <w:rFonts w:hint="eastAsia" w:ascii="宋体" w:hAnsi="宋体"/>
                <w:color w:val="auto"/>
                <w:szCs w:val="21"/>
              </w:rPr>
              <w:t>国家安全教育</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vAlign w:val="center"/>
          </w:tcPr>
          <w:p>
            <w:pPr>
              <w:widowControl/>
              <w:jc w:val="center"/>
              <w:rPr>
                <w:rFonts w:ascii="宋体" w:hAnsi="宋体" w:cs="宋体"/>
                <w:color w:val="auto"/>
                <w:kern w:val="0"/>
                <w:szCs w:val="21"/>
              </w:rPr>
            </w:pPr>
          </w:p>
        </w:tc>
        <w:tc>
          <w:tcPr>
            <w:tcW w:w="851" w:type="dxa"/>
            <w:vAlign w:val="center"/>
          </w:tcPr>
          <w:p>
            <w:pPr>
              <w:widowControl/>
              <w:jc w:val="center"/>
              <w:rPr>
                <w:rFonts w:ascii="宋体" w:hAnsi="宋体" w:cs="宋体"/>
                <w:color w:val="auto"/>
                <w:kern w:val="0"/>
                <w:szCs w:val="21"/>
              </w:rPr>
            </w:pPr>
            <w:r>
              <w:rPr>
                <w:rFonts w:hint="eastAsia" w:ascii="宋体" w:hAnsi="宋体"/>
                <w:color w:val="auto"/>
                <w:szCs w:val="21"/>
              </w:rPr>
              <w:t>（1）</w:t>
            </w:r>
          </w:p>
        </w:tc>
        <w:tc>
          <w:tcPr>
            <w:tcW w:w="850" w:type="dxa"/>
            <w:vAlign w:val="center"/>
          </w:tcPr>
          <w:p>
            <w:pPr>
              <w:widowControl/>
              <w:jc w:val="center"/>
              <w:rPr>
                <w:rFonts w:ascii="宋体" w:hAnsi="宋体" w:cs="宋体"/>
                <w:color w:val="auto"/>
                <w:kern w:val="0"/>
                <w:sz w:val="18"/>
                <w:szCs w:val="18"/>
              </w:rPr>
            </w:pPr>
          </w:p>
        </w:tc>
        <w:tc>
          <w:tcPr>
            <w:tcW w:w="851" w:type="dxa"/>
            <w:vAlign w:val="center"/>
          </w:tcPr>
          <w:p>
            <w:pPr>
              <w:widowControl/>
              <w:jc w:val="center"/>
              <w:rPr>
                <w:rFonts w:ascii="宋体" w:hAnsi="宋体" w:cs="宋体"/>
                <w:color w:val="auto"/>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5"/>
                <w:szCs w:val="15"/>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exact"/>
          <w:jc w:val="center"/>
        </w:trPr>
        <w:tc>
          <w:tcPr>
            <w:tcW w:w="584"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625"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olor w:val="auto"/>
                <w:szCs w:val="21"/>
              </w:rPr>
            </w:pPr>
          </w:p>
        </w:tc>
        <w:tc>
          <w:tcPr>
            <w:tcW w:w="4139" w:type="dxa"/>
            <w:gridSpan w:val="3"/>
            <w:tcBorders>
              <w:top w:val="single" w:color="000000" w:sz="4" w:space="0"/>
              <w:left w:val="single" w:color="000000" w:sz="4" w:space="0"/>
              <w:bottom w:val="single" w:color="000000" w:sz="4" w:space="0"/>
              <w:right w:val="single" w:color="000000" w:sz="2"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公共</w:t>
            </w:r>
            <w:r>
              <w:rPr>
                <w:rFonts w:ascii="宋体" w:hAnsi="宋体"/>
                <w:color w:val="auto"/>
                <w:szCs w:val="21"/>
              </w:rPr>
              <w:t>基础</w:t>
            </w:r>
            <w:r>
              <w:rPr>
                <w:rFonts w:hint="eastAsia" w:ascii="宋体" w:hAnsi="宋体"/>
                <w:color w:val="auto"/>
                <w:szCs w:val="21"/>
              </w:rPr>
              <w:t>必修课小计</w:t>
            </w:r>
          </w:p>
        </w:tc>
        <w:tc>
          <w:tcPr>
            <w:tcW w:w="709" w:type="dxa"/>
            <w:tcBorders>
              <w:top w:val="single" w:color="000000" w:sz="4" w:space="0"/>
              <w:left w:val="single" w:color="000000" w:sz="12" w:space="0"/>
              <w:bottom w:val="single" w:color="000000" w:sz="4" w:space="0"/>
              <w:right w:val="single" w:color="000000" w:sz="4" w:space="0"/>
            </w:tcBorders>
            <w:shd w:val="clear" w:color="auto" w:fill="B3B3B3"/>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27</w:t>
            </w:r>
          </w:p>
        </w:tc>
        <w:tc>
          <w:tcPr>
            <w:tcW w:w="850" w:type="dxa"/>
            <w:tcBorders>
              <w:top w:val="single" w:color="000000" w:sz="4" w:space="0"/>
              <w:left w:val="single" w:color="000000" w:sz="12" w:space="0"/>
              <w:bottom w:val="single" w:color="000000" w:sz="4" w:space="0"/>
              <w:right w:val="single" w:color="000000" w:sz="4" w:space="0"/>
            </w:tcBorders>
            <w:shd w:val="clear" w:color="auto" w:fill="B3B3B3"/>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422</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keepNext w:val="0"/>
              <w:keepLines w:val="0"/>
              <w:widowControl/>
              <w:suppressLineNumbers w:val="0"/>
              <w:jc w:val="center"/>
              <w:textAlignment w:val="center"/>
              <w:rPr>
                <w:rFonts w:ascii="宋体" w:hAnsi="宋体"/>
                <w:color w:val="auto"/>
                <w:sz w:val="18"/>
                <w:szCs w:val="18"/>
              </w:rPr>
            </w:pPr>
            <w:r>
              <w:rPr>
                <w:rFonts w:hint="eastAsia" w:ascii="宋体" w:hAnsi="宋体" w:eastAsia="宋体" w:cs="宋体"/>
                <w:i w:val="0"/>
                <w:iCs w:val="0"/>
                <w:color w:val="auto"/>
                <w:kern w:val="0"/>
                <w:sz w:val="22"/>
                <w:szCs w:val="22"/>
                <w:u w:val="none"/>
                <w:lang w:val="en-US" w:eastAsia="zh-CN" w:bidi="ar"/>
              </w:rPr>
              <w:t>6.5</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0.5</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2.5</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jc w:val="center"/>
        </w:trPr>
        <w:tc>
          <w:tcPr>
            <w:tcW w:w="584"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625" w:type="dxa"/>
            <w:vMerge w:val="restart"/>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r>
              <w:rPr>
                <w:rFonts w:hint="eastAsia" w:ascii="宋体" w:hAnsi="宋体"/>
                <w:color w:val="auto"/>
                <w:szCs w:val="21"/>
              </w:rPr>
              <w:t>选修课</w:t>
            </w:r>
          </w:p>
        </w:tc>
        <w:tc>
          <w:tcPr>
            <w:tcW w:w="1512"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olor w:val="auto"/>
                <w:szCs w:val="21"/>
              </w:rPr>
            </w:pPr>
            <w:r>
              <w:rPr>
                <w:rFonts w:ascii="宋体" w:hAnsi="宋体"/>
                <w:color w:val="auto"/>
                <w:szCs w:val="21"/>
              </w:rPr>
              <w:t>100000050</w:t>
            </w:r>
          </w:p>
        </w:tc>
        <w:tc>
          <w:tcPr>
            <w:tcW w:w="2627" w:type="dxa"/>
            <w:tcBorders>
              <w:top w:val="single" w:color="auto"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高职英语</w:t>
            </w:r>
          </w:p>
        </w:tc>
        <w:tc>
          <w:tcPr>
            <w:tcW w:w="709"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8</w:t>
            </w: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r>
              <w:rPr>
                <w:rFonts w:hint="eastAsia" w:ascii="宋体" w:hAnsi="宋体" w:cs="宋体"/>
                <w:color w:val="auto"/>
                <w:sz w:val="18"/>
                <w:szCs w:val="18"/>
              </w:rPr>
              <w:t>▲</w:t>
            </w: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FFFFFF"/>
            <w:vAlign w:val="center"/>
          </w:tcPr>
          <w:p>
            <w:pPr>
              <w:spacing w:line="0" w:lineRule="atLeast"/>
              <w:jc w:val="left"/>
              <w:rPr>
                <w:rFonts w:ascii="宋体" w:hAnsi="宋体"/>
                <w:color w:val="auto"/>
                <w:szCs w:val="21"/>
              </w:rPr>
            </w:pPr>
            <w:r>
              <w:rPr>
                <w:rFonts w:hint="eastAsia" w:ascii="Calibri" w:hAnsi="Calibri"/>
                <w:snapToGrid w:val="0"/>
                <w:color w:val="auto"/>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1" w:hRule="exact"/>
          <w:jc w:val="center"/>
        </w:trPr>
        <w:tc>
          <w:tcPr>
            <w:tcW w:w="584"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1512"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1000000</w:t>
            </w:r>
            <w:r>
              <w:rPr>
                <w:rFonts w:hint="eastAsia" w:ascii="宋体" w:hAnsi="宋体"/>
                <w:color w:val="auto"/>
                <w:szCs w:val="21"/>
              </w:rPr>
              <w:t>22</w:t>
            </w:r>
          </w:p>
        </w:tc>
        <w:tc>
          <w:tcPr>
            <w:tcW w:w="2627" w:type="dxa"/>
            <w:tcBorders>
              <w:top w:val="single" w:color="auto"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高职数学</w:t>
            </w:r>
          </w:p>
        </w:tc>
        <w:tc>
          <w:tcPr>
            <w:tcW w:w="709"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32</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FFFFFF"/>
            <w:vAlign w:val="center"/>
          </w:tcPr>
          <w:p>
            <w:pPr>
              <w:spacing w:line="0" w:lineRule="atLeast"/>
              <w:jc w:val="left"/>
              <w:rPr>
                <w:rFonts w:ascii="宋体" w:hAnsi="宋体"/>
                <w:color w:val="auto"/>
                <w:szCs w:val="21"/>
              </w:rPr>
            </w:pPr>
            <w:r>
              <w:rPr>
                <w:rFonts w:hint="eastAsia" w:ascii="Calibri" w:hAnsi="Calibri"/>
                <w:snapToGrid w:val="0"/>
                <w:color w:val="auto"/>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exact"/>
          <w:jc w:val="center"/>
        </w:trPr>
        <w:tc>
          <w:tcPr>
            <w:tcW w:w="584"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1512"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1000000</w:t>
            </w:r>
            <w:r>
              <w:rPr>
                <w:rFonts w:hint="eastAsia" w:ascii="宋体" w:hAnsi="宋体"/>
                <w:color w:val="auto"/>
                <w:szCs w:val="21"/>
              </w:rPr>
              <w:t>23</w:t>
            </w:r>
          </w:p>
        </w:tc>
        <w:tc>
          <w:tcPr>
            <w:tcW w:w="2627" w:type="dxa"/>
            <w:tcBorders>
              <w:top w:val="single" w:color="auto"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高职计算机应用基础</w:t>
            </w:r>
          </w:p>
        </w:tc>
        <w:tc>
          <w:tcPr>
            <w:tcW w:w="709"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32</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20</w:t>
            </w: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FF0000"/>
                <w:szCs w:val="21"/>
              </w:rPr>
            </w:pP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FFFFFF"/>
            <w:vAlign w:val="center"/>
          </w:tcPr>
          <w:p>
            <w:pPr>
              <w:spacing w:line="0" w:lineRule="atLeast"/>
              <w:jc w:val="left"/>
              <w:rPr>
                <w:rFonts w:ascii="宋体" w:hAnsi="宋体"/>
                <w:color w:val="auto"/>
                <w:szCs w:val="21"/>
              </w:rPr>
            </w:pPr>
            <w:r>
              <w:rPr>
                <w:rFonts w:hint="eastAsia" w:ascii="Calibri" w:hAnsi="Calibri"/>
                <w:snapToGrid w:val="0"/>
                <w:color w:val="auto"/>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0" w:hRule="exact"/>
          <w:jc w:val="center"/>
        </w:trPr>
        <w:tc>
          <w:tcPr>
            <w:tcW w:w="584"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1512"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1000000</w:t>
            </w:r>
            <w:r>
              <w:rPr>
                <w:rFonts w:hint="eastAsia" w:ascii="宋体" w:hAnsi="宋体"/>
                <w:color w:val="auto"/>
                <w:szCs w:val="21"/>
              </w:rPr>
              <w:t>31</w:t>
            </w:r>
          </w:p>
        </w:tc>
        <w:tc>
          <w:tcPr>
            <w:tcW w:w="2627" w:type="dxa"/>
            <w:tcBorders>
              <w:top w:val="single" w:color="auto"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劳动、社团、公益活动等</w:t>
            </w:r>
          </w:p>
        </w:tc>
        <w:tc>
          <w:tcPr>
            <w:tcW w:w="709"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70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FFFFFF"/>
            <w:vAlign w:val="center"/>
          </w:tcPr>
          <w:p>
            <w:pPr>
              <w:spacing w:line="0" w:lineRule="atLeast"/>
              <w:rPr>
                <w:snapToGrid w:val="0"/>
                <w:color w:val="auto"/>
                <w:sz w:val="18"/>
                <w:szCs w:val="18"/>
              </w:rPr>
            </w:pPr>
            <w:r>
              <w:rPr>
                <w:rFonts w:hint="eastAsia"/>
                <w:snapToGrid w:val="0"/>
                <w:color w:val="auto"/>
                <w:sz w:val="18"/>
                <w:szCs w:val="18"/>
              </w:rPr>
              <w:t>限选课。至少</w:t>
            </w:r>
            <w:r>
              <w:rPr>
                <w:snapToGrid w:val="0"/>
                <w:color w:val="auto"/>
                <w:sz w:val="18"/>
                <w:szCs w:val="18"/>
              </w:rPr>
              <w:t>获得</w:t>
            </w:r>
            <w:r>
              <w:rPr>
                <w:rFonts w:hint="eastAsia"/>
                <w:snapToGrid w:val="0"/>
                <w:color w:val="auto"/>
                <w:sz w:val="18"/>
                <w:szCs w:val="18"/>
              </w:rPr>
              <w:t>2学</w:t>
            </w:r>
            <w:r>
              <w:rPr>
                <w:snapToGrid w:val="0"/>
                <w:color w:val="auto"/>
                <w:sz w:val="18"/>
                <w:szCs w:val="18"/>
              </w:rPr>
              <w:t>分。</w:t>
            </w:r>
            <w:r>
              <w:rPr>
                <w:rFonts w:hint="eastAsia"/>
                <w:snapToGrid w:val="0"/>
                <w:color w:val="auto"/>
                <w:sz w:val="18"/>
                <w:szCs w:val="18"/>
              </w:rPr>
              <w:t>具体由学生处（团委）负责制订实施细则，协同各二级教学单位组织实施、学分认定工作。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6" w:hRule="exact"/>
          <w:jc w:val="center"/>
        </w:trPr>
        <w:tc>
          <w:tcPr>
            <w:tcW w:w="584"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1512"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pPr>
              <w:spacing w:line="0" w:lineRule="atLeast"/>
              <w:jc w:val="center"/>
              <w:rPr>
                <w:rFonts w:ascii="宋体" w:hAnsi="宋体"/>
                <w:color w:val="auto"/>
                <w:szCs w:val="21"/>
              </w:rPr>
            </w:pPr>
          </w:p>
        </w:tc>
        <w:tc>
          <w:tcPr>
            <w:tcW w:w="2627" w:type="dxa"/>
            <w:tcBorders>
              <w:top w:val="single" w:color="auto" w:sz="4" w:space="0"/>
              <w:left w:val="single" w:color="auto" w:sz="4" w:space="0"/>
              <w:bottom w:val="single" w:color="000000" w:sz="4" w:space="0"/>
              <w:right w:val="single" w:color="000000" w:sz="2"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全院性选修课</w:t>
            </w:r>
          </w:p>
        </w:tc>
        <w:tc>
          <w:tcPr>
            <w:tcW w:w="709"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10</w:t>
            </w:r>
          </w:p>
        </w:tc>
        <w:tc>
          <w:tcPr>
            <w:tcW w:w="850" w:type="dxa"/>
            <w:tcBorders>
              <w:top w:val="single" w:color="auto" w:sz="4" w:space="0"/>
              <w:left w:val="single" w:color="000000" w:sz="12"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160</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0</w:t>
            </w: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w:t>
            </w: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w:t>
            </w:r>
          </w:p>
        </w:tc>
        <w:tc>
          <w:tcPr>
            <w:tcW w:w="85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1"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r>
              <w:rPr>
                <w:rFonts w:hint="eastAsia" w:ascii="宋体" w:hAnsi="宋体"/>
                <w:color w:val="auto"/>
                <w:szCs w:val="21"/>
              </w:rPr>
              <w:t xml:space="preserve"> </w:t>
            </w:r>
          </w:p>
        </w:tc>
        <w:tc>
          <w:tcPr>
            <w:tcW w:w="70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FFFFFF"/>
            <w:vAlign w:val="center"/>
          </w:tcPr>
          <w:p>
            <w:pPr>
              <w:spacing w:line="0" w:lineRule="atLeast"/>
              <w:jc w:val="left"/>
              <w:rPr>
                <w:rFonts w:ascii="宋体" w:hAnsi="宋体"/>
                <w:color w:val="auto"/>
                <w:szCs w:val="21"/>
              </w:rPr>
            </w:pPr>
            <w:r>
              <w:rPr>
                <w:rFonts w:hint="eastAsia" w:ascii="Calibri" w:hAnsi="Calibri"/>
                <w:snapToGrid w:val="0"/>
                <w:color w:val="auto"/>
                <w:sz w:val="18"/>
                <w:szCs w:val="18"/>
              </w:rPr>
              <w:t>课程详见基础部选修课一览表；要求选足1</w:t>
            </w:r>
            <w:r>
              <w:rPr>
                <w:rFonts w:ascii="Calibri" w:hAnsi="Calibri"/>
                <w:snapToGrid w:val="0"/>
                <w:color w:val="auto"/>
                <w:sz w:val="18"/>
                <w:szCs w:val="18"/>
              </w:rPr>
              <w:t>0</w:t>
            </w:r>
            <w:r>
              <w:rPr>
                <w:rFonts w:hint="eastAsia" w:ascii="Calibri" w:hAnsi="Calibri"/>
                <w:snapToGrid w:val="0"/>
                <w:color w:val="auto"/>
                <w:sz w:val="18"/>
                <w:szCs w:val="18"/>
              </w:rPr>
              <w:t>学分。</w:t>
            </w:r>
            <w:r>
              <w:rPr>
                <w:rFonts w:hint="eastAsia"/>
                <w:snapToGrid w:val="0"/>
                <w:color w:val="auto"/>
                <w:sz w:val="18"/>
                <w:szCs w:val="18"/>
              </w:rPr>
              <w:t>其中，创新创业类课程不少于</w:t>
            </w:r>
            <w:r>
              <w:rPr>
                <w:snapToGrid w:val="0"/>
                <w:color w:val="auto"/>
                <w:sz w:val="18"/>
                <w:szCs w:val="18"/>
              </w:rPr>
              <w:t>2</w:t>
            </w:r>
            <w:r>
              <w:rPr>
                <w:rFonts w:hint="eastAsia"/>
                <w:snapToGrid w:val="0"/>
                <w:color w:val="auto"/>
                <w:sz w:val="18"/>
                <w:szCs w:val="18"/>
              </w:rPr>
              <w:t>学分，</w:t>
            </w:r>
            <w:r>
              <w:rPr>
                <w:rFonts w:hint="eastAsia"/>
                <w:color w:val="auto"/>
                <w:sz w:val="18"/>
                <w:szCs w:val="18"/>
              </w:rPr>
              <w:t>人文</w:t>
            </w:r>
            <w:r>
              <w:rPr>
                <w:color w:val="auto"/>
                <w:sz w:val="18"/>
                <w:szCs w:val="18"/>
              </w:rPr>
              <w:t>美育</w:t>
            </w:r>
            <w:r>
              <w:rPr>
                <w:rFonts w:hint="eastAsia"/>
                <w:color w:val="auto"/>
                <w:sz w:val="18"/>
                <w:szCs w:val="18"/>
              </w:rPr>
              <w:t>类不低于2学分，</w:t>
            </w:r>
            <w:r>
              <w:rPr>
                <w:rFonts w:hint="eastAsia" w:hAnsi="宋体"/>
                <w:color w:val="auto"/>
                <w:sz w:val="18"/>
                <w:szCs w:val="18"/>
              </w:rPr>
              <w:t>四史教育类1学分</w:t>
            </w:r>
            <w:r>
              <w:rPr>
                <w:rFonts w:hint="eastAsia"/>
                <w:snapToGrid w:val="0"/>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exact"/>
          <w:jc w:val="center"/>
        </w:trPr>
        <w:tc>
          <w:tcPr>
            <w:tcW w:w="584" w:type="dxa"/>
            <w:vMerge w:val="continue"/>
            <w:tcBorders>
              <w:left w:val="single" w:color="000000" w:sz="4" w:space="0"/>
              <w:right w:val="single" w:color="000000" w:sz="4" w:space="0"/>
            </w:tcBorders>
            <w:shd w:val="clear" w:color="auto" w:fill="auto"/>
            <w:vAlign w:val="center"/>
          </w:tcPr>
          <w:p>
            <w:pPr>
              <w:spacing w:line="0" w:lineRule="atLeast"/>
              <w:jc w:val="center"/>
              <w:rPr>
                <w:rFonts w:ascii="宋体" w:hAnsi="宋体"/>
                <w:color w:val="auto"/>
                <w:szCs w:val="21"/>
              </w:rPr>
            </w:pPr>
            <w:bookmarkStart w:id="0" w:name="_GoBack" w:colFirst="6" w:colLast="7"/>
          </w:p>
        </w:tc>
        <w:tc>
          <w:tcPr>
            <w:tcW w:w="625" w:type="dxa"/>
            <w:vMerge w:val="continue"/>
            <w:tcBorders>
              <w:left w:val="single" w:color="000000" w:sz="4" w:space="0"/>
              <w:bottom w:val="single" w:color="auto" w:sz="4" w:space="0"/>
              <w:right w:val="single" w:color="000000" w:sz="4" w:space="0"/>
            </w:tcBorders>
            <w:shd w:val="clear" w:color="auto" w:fill="auto"/>
            <w:vAlign w:val="center"/>
          </w:tcPr>
          <w:p>
            <w:pPr>
              <w:spacing w:line="0" w:lineRule="atLeast"/>
              <w:jc w:val="center"/>
              <w:rPr>
                <w:rFonts w:ascii="宋体" w:hAnsi="宋体"/>
                <w:color w:val="auto"/>
                <w:szCs w:val="21"/>
              </w:rPr>
            </w:pPr>
          </w:p>
        </w:tc>
        <w:tc>
          <w:tcPr>
            <w:tcW w:w="4139" w:type="dxa"/>
            <w:gridSpan w:val="3"/>
            <w:tcBorders>
              <w:top w:val="single" w:color="auto" w:sz="4" w:space="0"/>
              <w:left w:val="single" w:color="000000" w:sz="4" w:space="0"/>
              <w:bottom w:val="single" w:color="000000" w:sz="4" w:space="0"/>
              <w:right w:val="single" w:color="000000" w:sz="2" w:space="0"/>
            </w:tcBorders>
            <w:shd w:val="clear" w:color="auto" w:fill="A4A4A4"/>
            <w:vAlign w:val="center"/>
          </w:tcPr>
          <w:p>
            <w:pPr>
              <w:widowControl/>
              <w:jc w:val="center"/>
              <w:rPr>
                <w:rFonts w:ascii="宋体" w:hAnsi="宋体"/>
                <w:color w:val="auto"/>
                <w:szCs w:val="21"/>
              </w:rPr>
            </w:pPr>
            <w:r>
              <w:rPr>
                <w:rFonts w:hint="eastAsia" w:ascii="宋体" w:hAnsi="宋体"/>
                <w:color w:val="auto"/>
                <w:szCs w:val="21"/>
              </w:rPr>
              <w:t>公共基础选修课小计</w:t>
            </w:r>
          </w:p>
        </w:tc>
        <w:tc>
          <w:tcPr>
            <w:tcW w:w="709" w:type="dxa"/>
            <w:tcBorders>
              <w:top w:val="single" w:color="auto" w:sz="4" w:space="0"/>
              <w:left w:val="single" w:color="000000" w:sz="12"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18</w:t>
            </w:r>
          </w:p>
        </w:tc>
        <w:tc>
          <w:tcPr>
            <w:tcW w:w="850" w:type="dxa"/>
            <w:tcBorders>
              <w:top w:val="single" w:color="auto" w:sz="4" w:space="0"/>
              <w:left w:val="single" w:color="000000" w:sz="12"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256</w:t>
            </w:r>
          </w:p>
        </w:tc>
        <w:tc>
          <w:tcPr>
            <w:tcW w:w="709"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28</w:t>
            </w:r>
          </w:p>
        </w:tc>
        <w:tc>
          <w:tcPr>
            <w:tcW w:w="850"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851"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ascii="宋体" w:hAnsi="宋体"/>
                <w:color w:val="auto"/>
                <w:szCs w:val="21"/>
              </w:rPr>
              <w:t>2</w:t>
            </w:r>
          </w:p>
        </w:tc>
        <w:tc>
          <w:tcPr>
            <w:tcW w:w="850"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1"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p>
        </w:tc>
        <w:tc>
          <w:tcPr>
            <w:tcW w:w="708"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3" w:hRule="exact"/>
          <w:jc w:val="center"/>
        </w:trPr>
        <w:tc>
          <w:tcPr>
            <w:tcW w:w="584" w:type="dxa"/>
            <w:vMerge w:val="continue"/>
            <w:tcBorders>
              <w:left w:val="single" w:color="000000" w:sz="4" w:space="0"/>
              <w:right w:val="single" w:color="000000" w:sz="4" w:space="0"/>
            </w:tcBorders>
            <w:shd w:val="clear" w:color="auto" w:fill="auto"/>
            <w:vAlign w:val="center"/>
          </w:tcPr>
          <w:p>
            <w:pPr>
              <w:spacing w:line="0" w:lineRule="atLeast"/>
              <w:jc w:val="center"/>
              <w:rPr>
                <w:rFonts w:ascii="宋体" w:hAnsi="宋体"/>
                <w:color w:val="auto"/>
                <w:szCs w:val="21"/>
              </w:rPr>
            </w:pPr>
          </w:p>
        </w:tc>
        <w:tc>
          <w:tcPr>
            <w:tcW w:w="4764" w:type="dxa"/>
            <w:gridSpan w:val="4"/>
            <w:tcBorders>
              <w:left w:val="single" w:color="000000" w:sz="4" w:space="0"/>
              <w:bottom w:val="single" w:color="auto" w:sz="4" w:space="0"/>
              <w:right w:val="single" w:color="000000" w:sz="2"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公共基础课合计</w:t>
            </w:r>
          </w:p>
        </w:tc>
        <w:tc>
          <w:tcPr>
            <w:tcW w:w="709" w:type="dxa"/>
            <w:tcBorders>
              <w:top w:val="single" w:color="auto" w:sz="4" w:space="0"/>
              <w:left w:val="single" w:color="000000" w:sz="12"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45</w:t>
            </w:r>
          </w:p>
        </w:tc>
        <w:tc>
          <w:tcPr>
            <w:tcW w:w="850" w:type="dxa"/>
            <w:tcBorders>
              <w:top w:val="single" w:color="auto" w:sz="4" w:space="0"/>
              <w:left w:val="single" w:color="000000" w:sz="12"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678</w:t>
            </w:r>
          </w:p>
        </w:tc>
        <w:tc>
          <w:tcPr>
            <w:tcW w:w="709" w:type="dxa"/>
            <w:tcBorders>
              <w:top w:val="single" w:color="auto"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hint="default" w:ascii="宋体" w:hAnsi="宋体"/>
                <w:color w:val="auto"/>
                <w:szCs w:val="21"/>
                <w:lang w:val="en-US"/>
              </w:rPr>
            </w:pPr>
            <w:r>
              <w:rPr>
                <w:rFonts w:hint="eastAsia" w:ascii="宋体" w:hAnsi="宋体" w:cs="宋体"/>
                <w:i w:val="0"/>
                <w:iCs w:val="0"/>
                <w:color w:val="auto"/>
                <w:kern w:val="0"/>
                <w:sz w:val="22"/>
                <w:szCs w:val="22"/>
                <w:u w:val="none"/>
                <w:lang w:val="en-US" w:eastAsia="zh-CN" w:bidi="ar"/>
              </w:rPr>
              <w:t>176</w:t>
            </w:r>
          </w:p>
        </w:tc>
        <w:tc>
          <w:tcPr>
            <w:tcW w:w="850" w:type="dxa"/>
            <w:tcBorders>
              <w:top w:val="single" w:color="auto"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.5</w:t>
            </w:r>
          </w:p>
        </w:tc>
        <w:tc>
          <w:tcPr>
            <w:tcW w:w="851" w:type="dxa"/>
            <w:tcBorders>
              <w:top w:val="single" w:color="auto" w:sz="4" w:space="0"/>
              <w:left w:val="single" w:color="000000" w:sz="4" w:space="0"/>
              <w:bottom w:val="single" w:color="000000" w:sz="4" w:space="0"/>
              <w:right w:val="single" w:color="000000" w:sz="4" w:space="0"/>
            </w:tcBorders>
            <w:shd w:val="clear" w:color="auto" w:fill="A4A4A4"/>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.5</w:t>
            </w:r>
          </w:p>
        </w:tc>
        <w:tc>
          <w:tcPr>
            <w:tcW w:w="850"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4</w:t>
            </w:r>
            <w:r>
              <w:rPr>
                <w:rFonts w:ascii="宋体" w:hAnsi="宋体"/>
                <w:color w:val="auto"/>
                <w:szCs w:val="21"/>
              </w:rPr>
              <w:t>.5</w:t>
            </w:r>
          </w:p>
        </w:tc>
        <w:tc>
          <w:tcPr>
            <w:tcW w:w="851"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r>
              <w:rPr>
                <w:rFonts w:hint="eastAsia" w:ascii="宋体" w:hAnsi="宋体"/>
                <w:color w:val="auto"/>
                <w:szCs w:val="21"/>
              </w:rPr>
              <w:t>6</w:t>
            </w:r>
            <w:r>
              <w:rPr>
                <w:rFonts w:ascii="宋体" w:hAnsi="宋体"/>
                <w:color w:val="auto"/>
                <w:szCs w:val="21"/>
              </w:rPr>
              <w:t>.5</w:t>
            </w:r>
          </w:p>
        </w:tc>
        <w:tc>
          <w:tcPr>
            <w:tcW w:w="709"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p>
        </w:tc>
        <w:tc>
          <w:tcPr>
            <w:tcW w:w="708" w:type="dxa"/>
            <w:tcBorders>
              <w:top w:val="single" w:color="auto" w:sz="4" w:space="0"/>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A4A4A4"/>
            <w:vAlign w:val="center"/>
          </w:tcPr>
          <w:p>
            <w:pPr>
              <w:spacing w:line="0" w:lineRule="atLeast"/>
              <w:jc w:val="center"/>
              <w:rPr>
                <w:rFonts w:ascii="宋体" w:hAnsi="宋体"/>
                <w:color w:val="auto"/>
                <w:szCs w:val="21"/>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jc w:val="center"/>
        </w:trPr>
        <w:tc>
          <w:tcPr>
            <w:tcW w:w="584" w:type="dxa"/>
            <w:vMerge w:val="restart"/>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专业群平台课</w:t>
            </w:r>
          </w:p>
        </w:tc>
        <w:tc>
          <w:tcPr>
            <w:tcW w:w="625" w:type="dxa"/>
            <w:vMerge w:val="restart"/>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必</w:t>
            </w:r>
          </w:p>
          <w:p>
            <w:pPr>
              <w:spacing w:line="0" w:lineRule="atLeast"/>
              <w:jc w:val="center"/>
              <w:rPr>
                <w:rFonts w:ascii="宋体" w:hAnsi="宋体"/>
                <w:color w:val="auto"/>
                <w:szCs w:val="21"/>
              </w:rPr>
            </w:pPr>
            <w:r>
              <w:rPr>
                <w:rFonts w:hint="eastAsia" w:ascii="宋体" w:hAnsi="宋体"/>
                <w:color w:val="auto"/>
                <w:szCs w:val="21"/>
              </w:rPr>
              <w:t>修</w:t>
            </w:r>
          </w:p>
          <w:p>
            <w:pPr>
              <w:spacing w:line="0" w:lineRule="atLeast"/>
              <w:jc w:val="center"/>
              <w:rPr>
                <w:rFonts w:ascii="宋体" w:hAnsi="宋体"/>
                <w:color w:val="auto"/>
                <w:szCs w:val="21"/>
              </w:rPr>
            </w:pPr>
            <w:r>
              <w:rPr>
                <w:rFonts w:hint="eastAsia" w:ascii="宋体" w:hAnsi="宋体"/>
                <w:color w:val="auto"/>
                <w:szCs w:val="21"/>
              </w:rPr>
              <w:t>课</w:t>
            </w: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GLFY101</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color w:val="auto"/>
                <w:szCs w:val="21"/>
              </w:rPr>
            </w:pPr>
            <w:r>
              <w:rPr>
                <w:rFonts w:hint="eastAsia"/>
                <w:color w:val="auto"/>
                <w:szCs w:val="21"/>
              </w:rPr>
              <w:t>经济法基础</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3.5</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56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exact"/>
          <w:jc w:val="center"/>
        </w:trPr>
        <w:tc>
          <w:tcPr>
            <w:tcW w:w="584"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625"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GLFY102</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color w:val="auto"/>
                <w:szCs w:val="21"/>
              </w:rPr>
            </w:pPr>
            <w:r>
              <w:rPr>
                <w:rFonts w:hint="eastAsia" w:ascii="宋体" w:hAnsi="宋体"/>
                <w:color w:val="auto"/>
                <w:szCs w:val="21"/>
              </w:rPr>
              <w:t>财务会计*</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3.5</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56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 w:hRule="exact"/>
          <w:jc w:val="center"/>
        </w:trPr>
        <w:tc>
          <w:tcPr>
            <w:tcW w:w="584"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625"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GLFY10</w:t>
            </w:r>
            <w:r>
              <w:rPr>
                <w:rFonts w:ascii="宋体" w:hAnsi="宋体"/>
                <w:color w:val="auto"/>
                <w:szCs w:val="21"/>
              </w:rPr>
              <w:t>3</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bCs/>
                <w:color w:val="auto"/>
                <w:szCs w:val="21"/>
              </w:rPr>
            </w:pPr>
            <w:r>
              <w:rPr>
                <w:rFonts w:hint="eastAsia" w:ascii="Arial" w:hAnsi="Arial" w:cs="Arial"/>
                <w:color w:val="auto"/>
                <w:szCs w:val="21"/>
              </w:rPr>
              <w:t>Excel在财会中的应用</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2" w:hRule="exact"/>
          <w:jc w:val="center"/>
        </w:trPr>
        <w:tc>
          <w:tcPr>
            <w:tcW w:w="584"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olor w:val="auto"/>
                <w:szCs w:val="21"/>
              </w:rPr>
            </w:pPr>
          </w:p>
        </w:tc>
        <w:tc>
          <w:tcPr>
            <w:tcW w:w="4764" w:type="dxa"/>
            <w:gridSpan w:val="4"/>
            <w:tcBorders>
              <w:top w:val="single" w:color="auto" w:sz="4" w:space="0"/>
              <w:left w:val="single" w:color="000000" w:sz="4" w:space="0"/>
              <w:bottom w:val="single" w:color="auto" w:sz="4" w:space="0"/>
              <w:right w:val="single" w:color="000000" w:sz="2" w:space="0"/>
            </w:tcBorders>
            <w:shd w:val="clear" w:color="auto" w:fill="B3B3B3"/>
            <w:vAlign w:val="center"/>
          </w:tcPr>
          <w:p>
            <w:pPr>
              <w:spacing w:line="0" w:lineRule="atLeast"/>
              <w:ind w:firstLine="945" w:firstLineChars="450"/>
              <w:jc w:val="center"/>
              <w:rPr>
                <w:rFonts w:ascii="宋体" w:hAnsi="宋体"/>
                <w:bCs/>
                <w:color w:val="auto"/>
                <w:szCs w:val="21"/>
              </w:rPr>
            </w:pPr>
            <w:r>
              <w:rPr>
                <w:rFonts w:hint="eastAsia" w:ascii="宋体" w:hAnsi="宋体"/>
                <w:color w:val="auto"/>
                <w:szCs w:val="21"/>
              </w:rPr>
              <w:t>专业群平台课合计</w:t>
            </w:r>
          </w:p>
        </w:tc>
        <w:tc>
          <w:tcPr>
            <w:tcW w:w="709"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11</w:t>
            </w:r>
          </w:p>
        </w:tc>
        <w:tc>
          <w:tcPr>
            <w:tcW w:w="850"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176</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4</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4</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2579" w:type="dxa"/>
            <w:tcBorders>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7" w:hRule="exact"/>
          <w:jc w:val="center"/>
        </w:trPr>
        <w:tc>
          <w:tcPr>
            <w:tcW w:w="584"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color w:val="auto"/>
                <w:szCs w:val="21"/>
              </w:rPr>
            </w:pPr>
            <w:r>
              <w:rPr>
                <w:rFonts w:hint="eastAsia" w:ascii="宋体" w:hAnsi="宋体"/>
                <w:color w:val="auto"/>
                <w:szCs w:val="21"/>
              </w:rPr>
              <w:t>专业基础课</w:t>
            </w:r>
          </w:p>
        </w:tc>
        <w:tc>
          <w:tcPr>
            <w:tcW w:w="625" w:type="dxa"/>
            <w:vMerge w:val="restart"/>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必修</w:t>
            </w:r>
          </w:p>
        </w:tc>
        <w:tc>
          <w:tcPr>
            <w:tcW w:w="1421"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201</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智能财务基础</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3.5</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56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7"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202</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财政</w:t>
            </w:r>
            <w:r>
              <w:rPr>
                <w:rFonts w:ascii="宋体" w:hAnsi="宋体"/>
                <w:color w:val="auto"/>
                <w:szCs w:val="21"/>
              </w:rPr>
              <w:t>与金融</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exact"/>
          <w:jc w:val="center"/>
        </w:trPr>
        <w:tc>
          <w:tcPr>
            <w:tcW w:w="584" w:type="dxa"/>
            <w:vMerge w:val="continue"/>
            <w:tcBorders>
              <w:top w:val="single" w:color="auto" w:sz="4" w:space="0"/>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203</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宋体" w:hAnsi="宋体"/>
                <w:bCs/>
                <w:color w:val="auto"/>
                <w:szCs w:val="21"/>
              </w:rPr>
            </w:pPr>
            <w:r>
              <w:rPr>
                <w:rFonts w:hint="eastAsia" w:ascii="宋体" w:hAnsi="宋体" w:cs="MS Mincho"/>
                <w:color w:val="auto"/>
                <w:szCs w:val="21"/>
              </w:rPr>
              <w:t>工程项目数字化管理</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exact"/>
          <w:jc w:val="center"/>
        </w:trPr>
        <w:tc>
          <w:tcPr>
            <w:tcW w:w="584" w:type="dxa"/>
            <w:vMerge w:val="continue"/>
            <w:tcBorders>
              <w:top w:val="single" w:color="auto" w:sz="4" w:space="0"/>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204</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宋体" w:hAnsi="宋体" w:cs="MS Mincho"/>
                <w:color w:val="auto"/>
                <w:szCs w:val="21"/>
              </w:rPr>
            </w:pPr>
            <w:r>
              <w:rPr>
                <w:rFonts w:hint="eastAsia" w:ascii="宋体" w:hAnsi="宋体" w:cs="MS Mincho"/>
                <w:color w:val="auto"/>
                <w:szCs w:val="21"/>
              </w:rPr>
              <w:t>共享</w:t>
            </w:r>
            <w:r>
              <w:rPr>
                <w:rFonts w:ascii="宋体" w:hAnsi="宋体" w:cs="MS Mincho"/>
                <w:color w:val="auto"/>
                <w:szCs w:val="21"/>
              </w:rPr>
              <w:t>财务岗位认知</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20</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exact"/>
          <w:jc w:val="center"/>
        </w:trPr>
        <w:tc>
          <w:tcPr>
            <w:tcW w:w="584" w:type="dxa"/>
            <w:vMerge w:val="continue"/>
            <w:tcBorders>
              <w:top w:val="single" w:color="auto" w:sz="4" w:space="0"/>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20</w:t>
            </w:r>
            <w:r>
              <w:rPr>
                <w:rFonts w:hint="eastAsia" w:ascii="宋体" w:hAnsi="宋体"/>
                <w:color w:val="auto"/>
                <w:szCs w:val="21"/>
              </w:rPr>
              <w:t>5</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宋体" w:hAnsi="宋体" w:cs="MS Mincho"/>
                <w:color w:val="auto"/>
                <w:szCs w:val="21"/>
              </w:rPr>
            </w:pPr>
            <w:r>
              <w:rPr>
                <w:rFonts w:hint="eastAsia" w:ascii="宋体" w:hAnsi="宋体" w:cs="MS Mincho"/>
                <w:color w:val="auto"/>
                <w:szCs w:val="21"/>
              </w:rPr>
              <w:t>管理</w:t>
            </w:r>
            <w:r>
              <w:rPr>
                <w:rFonts w:ascii="宋体" w:hAnsi="宋体" w:cs="MS Mincho"/>
                <w:color w:val="auto"/>
                <w:szCs w:val="21"/>
              </w:rPr>
              <w:t>财务岗位认知</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20</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exact"/>
          <w:jc w:val="center"/>
        </w:trPr>
        <w:tc>
          <w:tcPr>
            <w:tcW w:w="584"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olor w:val="auto"/>
                <w:szCs w:val="21"/>
              </w:rPr>
            </w:pPr>
          </w:p>
        </w:tc>
        <w:tc>
          <w:tcPr>
            <w:tcW w:w="4764" w:type="dxa"/>
            <w:gridSpan w:val="4"/>
            <w:tcBorders>
              <w:top w:val="single" w:color="auto" w:sz="4" w:space="0"/>
              <w:left w:val="single" w:color="000000" w:sz="4" w:space="0"/>
              <w:bottom w:val="single" w:color="auto" w:sz="4" w:space="0"/>
              <w:right w:val="single" w:color="000000" w:sz="2"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专业基础课合计</w:t>
            </w:r>
          </w:p>
        </w:tc>
        <w:tc>
          <w:tcPr>
            <w:tcW w:w="709"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11.5</w:t>
            </w:r>
          </w:p>
        </w:tc>
        <w:tc>
          <w:tcPr>
            <w:tcW w:w="850"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192</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8</w:t>
            </w:r>
            <w:r>
              <w:rPr>
                <w:rFonts w:ascii="宋体" w:hAnsi="宋体"/>
                <w:bCs/>
                <w:color w:val="auto"/>
                <w:szCs w:val="21"/>
              </w:rPr>
              <w:t>+</w:t>
            </w: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3</w:t>
            </w:r>
            <w:r>
              <w:rPr>
                <w:rFonts w:ascii="宋体" w:hAnsi="宋体"/>
                <w:bCs/>
                <w:color w:val="auto"/>
                <w:szCs w:val="21"/>
              </w:rPr>
              <w:t>+</w:t>
            </w:r>
            <w:r>
              <w:rPr>
                <w:rFonts w:hint="eastAsia" w:ascii="宋体" w:hAnsi="宋体"/>
                <w:color w:val="auto"/>
                <w:szCs w:val="21"/>
              </w:rPr>
              <w:t>1W</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
                <w:color w:val="auto"/>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
                <w:color w:val="auto"/>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8" w:hRule="exact"/>
          <w:jc w:val="center"/>
        </w:trPr>
        <w:tc>
          <w:tcPr>
            <w:tcW w:w="584" w:type="dxa"/>
            <w:vMerge w:val="restart"/>
            <w:tcBorders>
              <w:top w:val="single" w:color="auto" w:sz="4" w:space="0"/>
              <w:left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专业课</w:t>
            </w:r>
          </w:p>
        </w:tc>
        <w:tc>
          <w:tcPr>
            <w:tcW w:w="625" w:type="dxa"/>
            <w:vMerge w:val="restart"/>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必修课</w:t>
            </w: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301</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数据库技术财务应用</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8" w:hRule="exact"/>
          <w:jc w:val="center"/>
        </w:trPr>
        <w:tc>
          <w:tcPr>
            <w:tcW w:w="584" w:type="dxa"/>
            <w:vMerge w:val="continue"/>
            <w:tcBorders>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302</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智能</w:t>
            </w:r>
            <w:r>
              <w:rPr>
                <w:rFonts w:ascii="宋体" w:hAnsi="宋体"/>
                <w:color w:val="auto"/>
                <w:szCs w:val="21"/>
              </w:rPr>
              <w:t>财务应用</w:t>
            </w:r>
            <w:r>
              <w:rPr>
                <w:rFonts w:hint="eastAsia" w:ascii="宋体" w:hAnsi="宋体"/>
                <w:color w:val="auto"/>
                <w:szCs w:val="21"/>
              </w:rPr>
              <w:t>（Ⅰ）*</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64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r>
              <w:rPr>
                <w:rFonts w:ascii="MS Mincho" w:hAnsi="MS Mincho" w:eastAsia="MS Mincho" w:cs="MS Mincho"/>
                <w:color w:val="auto"/>
                <w:szCs w:val="21"/>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8"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0333</w:t>
            </w:r>
            <w:r>
              <w:rPr>
                <w:rFonts w:ascii="宋体" w:hAnsi="宋体"/>
                <w:color w:val="auto"/>
                <w:szCs w:val="21"/>
              </w:rPr>
              <w:t>303</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Python技术财务应用</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8"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304</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智能</w:t>
            </w:r>
            <w:r>
              <w:rPr>
                <w:rFonts w:ascii="宋体" w:hAnsi="宋体"/>
                <w:color w:val="auto"/>
                <w:szCs w:val="21"/>
              </w:rPr>
              <w:t>财务应用</w:t>
            </w:r>
            <w:r>
              <w:rPr>
                <w:rFonts w:hint="eastAsia" w:ascii="宋体" w:hAnsi="宋体"/>
                <w:color w:val="auto"/>
                <w:szCs w:val="21"/>
              </w:rPr>
              <w:t>（Ⅱ）*</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r>
              <w:rPr>
                <w:rFonts w:ascii="MS Mincho" w:hAnsi="MS Mincho" w:eastAsia="MS Mincho" w:cs="MS Mincho"/>
                <w:color w:val="auto"/>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8"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305</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ascii="宋体" w:hAnsi="宋体"/>
                <w:color w:val="auto"/>
                <w:szCs w:val="21"/>
              </w:rPr>
              <w:t>工程</w:t>
            </w:r>
            <w:r>
              <w:rPr>
                <w:rFonts w:hint="eastAsia" w:ascii="宋体" w:hAnsi="宋体"/>
                <w:color w:val="auto"/>
                <w:szCs w:val="21"/>
              </w:rPr>
              <w:t>财务</w:t>
            </w:r>
            <w:r>
              <w:rPr>
                <w:rFonts w:ascii="宋体" w:hAnsi="宋体"/>
                <w:color w:val="auto"/>
                <w:szCs w:val="21"/>
              </w:rPr>
              <w:t>管理</w:t>
            </w:r>
            <w:r>
              <w:rPr>
                <w:rFonts w:hint="eastAsia" w:ascii="宋体" w:hAnsi="宋体"/>
                <w:color w:val="auto"/>
                <w:szCs w:val="21"/>
              </w:rPr>
              <w:t>*</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r>
              <w:rPr>
                <w:rFonts w:ascii="MS Mincho" w:hAnsi="MS Mincho" w:eastAsia="MS Mincho" w:cs="MS Mincho"/>
                <w:color w:val="auto"/>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5"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306</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lang w:val="en-US" w:eastAsia="zh-CN"/>
              </w:rPr>
              <w:t>建筑财务数智化应用</w:t>
            </w:r>
            <w:r>
              <w:rPr>
                <w:rFonts w:hint="eastAsia" w:ascii="宋体" w:hAnsi="宋体"/>
                <w:color w:val="auto"/>
                <w:szCs w:val="21"/>
              </w:rPr>
              <w:t>*</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lang w:val="en-US" w:eastAsia="zh-CN"/>
              </w:rPr>
              <w:t>3</w:t>
            </w:r>
            <w:r>
              <w:rPr>
                <w:rFonts w:ascii="MS Mincho" w:hAnsi="MS Mincho" w:eastAsia="MS Mincho" w:cs="MS Mincho"/>
                <w:color w:val="auto"/>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307</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ascii="宋体" w:hAnsi="宋体"/>
                <w:color w:val="auto"/>
                <w:szCs w:val="21"/>
              </w:rPr>
              <w:t>税</w:t>
            </w:r>
            <w:r>
              <w:rPr>
                <w:rFonts w:hint="eastAsia" w:ascii="宋体" w:hAnsi="宋体"/>
                <w:color w:val="auto"/>
                <w:szCs w:val="21"/>
              </w:rPr>
              <w:t>务实务</w:t>
            </w:r>
            <w:r>
              <w:rPr>
                <w:rFonts w:ascii="宋体" w:hAnsi="宋体"/>
                <w:color w:val="auto"/>
                <w:szCs w:val="21"/>
              </w:rPr>
              <w:t>与筹划</w:t>
            </w:r>
            <w:r>
              <w:rPr>
                <w:rFonts w:hint="eastAsia" w:ascii="宋体" w:hAnsi="宋体"/>
                <w:color w:val="auto"/>
                <w:szCs w:val="21"/>
              </w:rPr>
              <w:t>*</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r>
              <w:rPr>
                <w:rFonts w:ascii="MS Mincho" w:hAnsi="MS Mincho" w:eastAsia="MS Mincho" w:cs="MS Mincho"/>
                <w:color w:val="auto"/>
                <w:szCs w:val="21"/>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308</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s="宋体"/>
                <w:color w:val="auto"/>
                <w:kern w:val="0"/>
                <w:szCs w:val="21"/>
              </w:rPr>
              <w:t>智能财务机器人应用</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309</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管理</w:t>
            </w:r>
            <w:r>
              <w:rPr>
                <w:rFonts w:ascii="宋体" w:hAnsi="宋体"/>
                <w:color w:val="auto"/>
                <w:szCs w:val="21"/>
              </w:rPr>
              <w:t>会计</w:t>
            </w:r>
            <w:r>
              <w:rPr>
                <w:rFonts w:hint="eastAsia" w:ascii="宋体" w:hAnsi="宋体"/>
                <w:color w:val="auto"/>
                <w:szCs w:val="21"/>
              </w:rPr>
              <w:t>*</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r>
              <w:rPr>
                <w:rFonts w:ascii="MS Mincho" w:hAnsi="MS Mincho" w:eastAsia="MS Mincho" w:cs="MS Mincho"/>
                <w:color w:val="auto"/>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310</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华文宋体" w:hAnsi="华文宋体" w:eastAsia="华文宋体"/>
                <w:color w:val="auto"/>
                <w:szCs w:val="21"/>
                <w:highlight w:val="yellow"/>
              </w:rPr>
            </w:pPr>
            <w:r>
              <w:rPr>
                <w:rFonts w:hint="eastAsia" w:ascii="宋体" w:hAnsi="宋体"/>
                <w:iCs/>
                <w:color w:val="auto"/>
                <w:szCs w:val="21"/>
              </w:rPr>
              <w:t>大数据财务分析</w:t>
            </w:r>
            <w:r>
              <w:rPr>
                <w:rFonts w:hint="eastAsia" w:ascii="宋体" w:hAnsi="宋体"/>
                <w:color w:val="auto"/>
                <w:szCs w:val="21"/>
              </w:rPr>
              <w:t>*</w:t>
            </w:r>
          </w:p>
        </w:tc>
        <w:tc>
          <w:tcPr>
            <w:tcW w:w="70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r>
              <w:rPr>
                <w:rFonts w:ascii="MS Mincho" w:hAnsi="MS Mincho" w:eastAsia="MS Mincho" w:cs="MS Mincho"/>
                <w:color w:val="auto"/>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7"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311</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财务</w:t>
            </w:r>
            <w:r>
              <w:rPr>
                <w:rFonts w:ascii="宋体" w:hAnsi="宋体"/>
                <w:color w:val="auto"/>
                <w:szCs w:val="21"/>
              </w:rPr>
              <w:t>管理</w:t>
            </w:r>
            <w:r>
              <w:rPr>
                <w:rFonts w:hint="eastAsia" w:ascii="宋体" w:hAnsi="宋体"/>
                <w:color w:val="auto"/>
                <w:szCs w:val="21"/>
              </w:rPr>
              <w:t>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7"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312</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管理</w:t>
            </w:r>
            <w:r>
              <w:rPr>
                <w:rFonts w:ascii="宋体" w:hAnsi="宋体"/>
                <w:color w:val="auto"/>
                <w:szCs w:val="21"/>
              </w:rPr>
              <w:t>会计实训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w:t>
            </w:r>
            <w:r>
              <w:rPr>
                <w:rFonts w:hint="eastAsia" w:ascii="宋体" w:hAnsi="宋体"/>
                <w:color w:val="auto"/>
                <w:szCs w:val="21"/>
              </w:rPr>
              <w:t>13</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企业实践</w:t>
            </w:r>
          </w:p>
        </w:tc>
        <w:tc>
          <w:tcPr>
            <w:tcW w:w="70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1</w:t>
            </w:r>
            <w:r>
              <w:rPr>
                <w:rFonts w:ascii="宋体" w:hAnsi="宋体" w:cs="宋体"/>
                <w:color w:val="auto"/>
                <w:kern w:val="0"/>
                <w:szCs w:val="21"/>
                <w:lang w:bidi="ar"/>
              </w:rPr>
              <w:t>7</w:t>
            </w:r>
          </w:p>
        </w:tc>
        <w:tc>
          <w:tcPr>
            <w:tcW w:w="85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340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340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W</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r>
              <w:rPr>
                <w:rFonts w:hint="eastAsia" w:ascii="宋体" w:hAnsi="宋体"/>
                <w:color w:val="auto"/>
                <w:sz w:val="18"/>
                <w:szCs w:val="18"/>
              </w:rPr>
              <w:t>工学交替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8"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w:t>
            </w:r>
            <w:r>
              <w:rPr>
                <w:rFonts w:hint="eastAsia" w:ascii="宋体" w:hAnsi="宋体"/>
                <w:color w:val="auto"/>
                <w:szCs w:val="21"/>
              </w:rPr>
              <w:t>14</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职业基本素养</w:t>
            </w:r>
          </w:p>
        </w:tc>
        <w:tc>
          <w:tcPr>
            <w:tcW w:w="70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hint="eastAsia" w:ascii="宋体" w:hAnsi="宋体"/>
                <w:color w:val="auto"/>
                <w:szCs w:val="21"/>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r>
              <w:rPr>
                <w:rFonts w:ascii="MS Mincho" w:hAnsi="MS Mincho" w:eastAsia="MS Mincho" w:cs="MS Mincho"/>
                <w:color w:val="auto"/>
                <w:sz w:val="18"/>
                <w:szCs w:val="18"/>
              </w:rPr>
              <w:t>（</w:t>
            </w:r>
            <w:r>
              <w:rPr>
                <w:rFonts w:hint="eastAsia" w:ascii="宋体" w:hAnsi="宋体"/>
                <w:color w:val="auto"/>
                <w:sz w:val="18"/>
                <w:szCs w:val="18"/>
              </w:rPr>
              <w:t>2</w:t>
            </w:r>
            <w:r>
              <w:rPr>
                <w:rFonts w:ascii="宋体" w:hAnsi="宋体"/>
                <w:color w:val="auto"/>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restart"/>
            <w:tcBorders>
              <w:top w:val="single" w:color="000000" w:sz="4" w:space="0"/>
              <w:left w:val="single" w:color="000000" w:sz="4" w:space="0"/>
              <w:right w:val="single" w:color="000000" w:sz="4" w:space="0"/>
            </w:tcBorders>
            <w:vAlign w:val="center"/>
          </w:tcPr>
          <w:p>
            <w:pPr>
              <w:spacing w:line="0" w:lineRule="atLeast"/>
              <w:rPr>
                <w:rFonts w:ascii="宋体" w:hAnsi="宋体"/>
                <w:color w:val="auto"/>
                <w:sz w:val="18"/>
                <w:szCs w:val="18"/>
              </w:rPr>
            </w:pPr>
            <w:r>
              <w:rPr>
                <w:rFonts w:hint="eastAsia" w:ascii="宋体" w:hAnsi="宋体"/>
                <w:color w:val="auto"/>
                <w:sz w:val="18"/>
                <w:szCs w:val="18"/>
              </w:rPr>
              <w:t>工学交替配套课程，不计入周课时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w:t>
            </w:r>
            <w:r>
              <w:rPr>
                <w:rFonts w:hint="eastAsia" w:ascii="宋体" w:hAnsi="宋体"/>
                <w:color w:val="auto"/>
                <w:szCs w:val="21"/>
              </w:rPr>
              <w:t>15</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最新财税政策解读</w:t>
            </w:r>
          </w:p>
        </w:tc>
        <w:tc>
          <w:tcPr>
            <w:tcW w:w="70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85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MS Mincho" w:hAnsi="MS Mincho" w:eastAsia="MS Mincho" w:cs="MS Mincho"/>
                <w:color w:val="auto"/>
                <w:sz w:val="18"/>
                <w:szCs w:val="18"/>
              </w:rPr>
            </w:pPr>
            <w:r>
              <w:rPr>
                <w:rFonts w:ascii="MS Mincho" w:hAnsi="MS Mincho" w:eastAsia="MS Mincho" w:cs="MS Mincho"/>
                <w:color w:val="auto"/>
                <w:sz w:val="18"/>
                <w:szCs w:val="18"/>
              </w:rPr>
              <w:t>（</w:t>
            </w:r>
            <w:r>
              <w:rPr>
                <w:rFonts w:hint="eastAsia" w:ascii="宋体" w:hAnsi="宋体"/>
                <w:color w:val="auto"/>
                <w:sz w:val="18"/>
                <w:szCs w:val="18"/>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left w:val="single" w:color="000000" w:sz="4" w:space="0"/>
              <w:bottom w:val="single" w:color="000000" w:sz="4" w:space="0"/>
              <w:right w:val="single" w:color="000000" w:sz="4" w:space="0"/>
            </w:tcBorders>
            <w:vAlign w:val="center"/>
          </w:tcPr>
          <w:p>
            <w:pPr>
              <w:spacing w:line="0" w:lineRule="atLeast"/>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5"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w:t>
            </w:r>
            <w:r>
              <w:rPr>
                <w:rFonts w:hint="eastAsia" w:ascii="宋体" w:hAnsi="宋体"/>
                <w:color w:val="auto"/>
                <w:szCs w:val="21"/>
              </w:rPr>
              <w:t>16</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顶岗实习</w:t>
            </w:r>
          </w:p>
        </w:tc>
        <w:tc>
          <w:tcPr>
            <w:tcW w:w="70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10</w:t>
            </w:r>
          </w:p>
        </w:tc>
        <w:tc>
          <w:tcPr>
            <w:tcW w:w="85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200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200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10W</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left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w:t>
            </w:r>
            <w:r>
              <w:rPr>
                <w:rFonts w:ascii="宋体" w:hAnsi="宋体"/>
                <w:color w:val="auto"/>
                <w:szCs w:val="21"/>
              </w:rPr>
              <w:t>3</w:t>
            </w:r>
            <w:r>
              <w:rPr>
                <w:rFonts w:hint="eastAsia" w:ascii="宋体" w:hAnsi="宋体"/>
                <w:color w:val="auto"/>
                <w:szCs w:val="21"/>
              </w:rPr>
              <w:t>17</w:t>
            </w:r>
          </w:p>
        </w:tc>
        <w:tc>
          <w:tcPr>
            <w:tcW w:w="2718" w:type="dxa"/>
            <w:gridSpan w:val="2"/>
            <w:tcBorders>
              <w:top w:val="single" w:color="000000" w:sz="4" w:space="0"/>
              <w:left w:val="single" w:color="auto" w:sz="4" w:space="0"/>
              <w:bottom w:val="single" w:color="auto"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毕业设计</w:t>
            </w:r>
          </w:p>
        </w:tc>
        <w:tc>
          <w:tcPr>
            <w:tcW w:w="70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olor w:val="auto"/>
                <w:szCs w:val="21"/>
              </w:rPr>
              <w:t>7</w:t>
            </w:r>
          </w:p>
        </w:tc>
        <w:tc>
          <w:tcPr>
            <w:tcW w:w="85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140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140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7</w:t>
            </w:r>
            <w:r>
              <w:rPr>
                <w:rFonts w:hint="eastAsia" w:ascii="宋体" w:hAnsi="宋体"/>
                <w:color w:val="auto"/>
                <w:szCs w:val="21"/>
              </w:rPr>
              <w:t>W</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exact"/>
          <w:jc w:val="center"/>
        </w:trPr>
        <w:tc>
          <w:tcPr>
            <w:tcW w:w="58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olor w:val="auto"/>
                <w:szCs w:val="21"/>
              </w:rPr>
            </w:pPr>
          </w:p>
        </w:tc>
        <w:tc>
          <w:tcPr>
            <w:tcW w:w="4764" w:type="dxa"/>
            <w:gridSpan w:val="4"/>
            <w:tcBorders>
              <w:top w:val="single" w:color="auto" w:sz="4" w:space="0"/>
              <w:left w:val="single" w:color="000000" w:sz="4" w:space="0"/>
              <w:bottom w:val="single" w:color="auto" w:sz="4" w:space="0"/>
              <w:right w:val="single" w:color="000000" w:sz="2" w:space="0"/>
            </w:tcBorders>
            <w:shd w:val="clear" w:color="auto" w:fill="B3B3B3"/>
            <w:vAlign w:val="center"/>
          </w:tcPr>
          <w:p>
            <w:pPr>
              <w:spacing w:line="0" w:lineRule="atLeast"/>
              <w:jc w:val="center"/>
              <w:rPr>
                <w:rFonts w:ascii="宋体" w:hAnsi="宋体"/>
                <w:bCs/>
                <w:color w:val="auto"/>
                <w:szCs w:val="21"/>
              </w:rPr>
            </w:pPr>
            <w:r>
              <w:rPr>
                <w:rFonts w:hint="eastAsia" w:ascii="宋体" w:hAnsi="宋体"/>
                <w:color w:val="auto"/>
                <w:szCs w:val="21"/>
              </w:rPr>
              <w:t>专业课合计</w:t>
            </w:r>
          </w:p>
        </w:tc>
        <w:tc>
          <w:tcPr>
            <w:tcW w:w="709" w:type="dxa"/>
            <w:tcBorders>
              <w:top w:val="single" w:color="auto"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72</w:t>
            </w:r>
          </w:p>
        </w:tc>
        <w:tc>
          <w:tcPr>
            <w:tcW w:w="850" w:type="dxa"/>
            <w:tcBorders>
              <w:top w:val="single" w:color="auto"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1304</w:t>
            </w:r>
          </w:p>
        </w:tc>
        <w:tc>
          <w:tcPr>
            <w:tcW w:w="709"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1080</w:t>
            </w:r>
          </w:p>
        </w:tc>
        <w:tc>
          <w:tcPr>
            <w:tcW w:w="850"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1"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6</w:t>
            </w:r>
          </w:p>
        </w:tc>
        <w:tc>
          <w:tcPr>
            <w:tcW w:w="850"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17+1W</w:t>
            </w:r>
          </w:p>
        </w:tc>
        <w:tc>
          <w:tcPr>
            <w:tcW w:w="851"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1W</w:t>
            </w:r>
          </w:p>
        </w:tc>
        <w:tc>
          <w:tcPr>
            <w:tcW w:w="709"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w:t>
            </w:r>
            <w:r>
              <w:rPr>
                <w:rFonts w:ascii="宋体" w:hAnsi="宋体"/>
                <w:bCs/>
                <w:color w:val="auto"/>
                <w:szCs w:val="21"/>
              </w:rPr>
              <w:t>7</w:t>
            </w:r>
            <w:r>
              <w:rPr>
                <w:rFonts w:hint="eastAsia" w:ascii="宋体" w:hAnsi="宋体"/>
                <w:bCs/>
                <w:color w:val="auto"/>
                <w:szCs w:val="21"/>
              </w:rPr>
              <w:t>W</w:t>
            </w:r>
          </w:p>
        </w:tc>
        <w:tc>
          <w:tcPr>
            <w:tcW w:w="708"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Cs w:val="21"/>
              </w:rPr>
            </w:pPr>
            <w:r>
              <w:rPr>
                <w:rFonts w:hint="eastAsia" w:ascii="宋体" w:hAnsi="宋体"/>
                <w:bCs/>
                <w:color w:val="auto"/>
                <w:szCs w:val="21"/>
              </w:rPr>
              <w:t>1</w:t>
            </w:r>
            <w:r>
              <w:rPr>
                <w:rFonts w:ascii="宋体" w:hAnsi="宋体"/>
                <w:bCs/>
                <w:color w:val="auto"/>
                <w:szCs w:val="21"/>
              </w:rPr>
              <w:t>7</w:t>
            </w:r>
            <w:r>
              <w:rPr>
                <w:rFonts w:hint="eastAsia" w:ascii="宋体" w:hAnsi="宋体"/>
                <w:bCs/>
                <w:color w:val="auto"/>
                <w:szCs w:val="21"/>
              </w:rPr>
              <w:t>W</w:t>
            </w:r>
          </w:p>
        </w:tc>
        <w:tc>
          <w:tcPr>
            <w:tcW w:w="2579" w:type="dxa"/>
            <w:tcBorders>
              <w:top w:val="single" w:color="auto"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bCs/>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exact"/>
          <w:jc w:val="center"/>
        </w:trPr>
        <w:tc>
          <w:tcPr>
            <w:tcW w:w="584" w:type="dxa"/>
            <w:vMerge w:val="restart"/>
            <w:tcBorders>
              <w:top w:val="single" w:color="auto" w:sz="4" w:space="0"/>
              <w:left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专业拓展课</w:t>
            </w:r>
          </w:p>
        </w:tc>
        <w:tc>
          <w:tcPr>
            <w:tcW w:w="625" w:type="dxa"/>
            <w:vMerge w:val="restart"/>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选修课</w:t>
            </w: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33401</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成本会计</w:t>
            </w:r>
          </w:p>
        </w:tc>
        <w:tc>
          <w:tcPr>
            <w:tcW w:w="70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color w:val="auto"/>
                <w:kern w:val="0"/>
                <w:szCs w:val="21"/>
              </w:rPr>
            </w:pPr>
            <w:r>
              <w:rPr>
                <w:rFonts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restart"/>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r>
              <w:rPr>
                <w:rFonts w:hint="eastAsia" w:ascii="宋体" w:hAnsi="宋体" w:cs="宋体"/>
                <w:color w:val="auto"/>
                <w:sz w:val="18"/>
                <w:szCs w:val="18"/>
              </w:rPr>
              <w:t>二选一，必须修满4学分。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0"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33402</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建筑企业物资管理</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4</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w:t>
            </w:r>
            <w:r>
              <w:rPr>
                <w:rFonts w:hint="eastAsia" w:ascii="宋体" w:hAnsi="宋体"/>
                <w:color w:val="auto"/>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top w:val="single" w:color="000000" w:sz="4" w:space="0"/>
              <w:left w:val="single" w:color="000000" w:sz="4" w:space="0"/>
              <w:right w:val="single" w:color="000000" w:sz="4" w:space="0"/>
            </w:tcBorders>
            <w:vAlign w:val="center"/>
          </w:tcPr>
          <w:p>
            <w:pPr>
              <w:spacing w:line="0" w:lineRule="atLeast"/>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2"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33403</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s="宋体"/>
                <w:color w:val="auto"/>
                <w:szCs w:val="21"/>
              </w:rPr>
              <w:t>财务共享应用</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ascii="华文宋体" w:hAnsi="华文宋体" w:eastAsia="华文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p>
        </w:tc>
        <w:tc>
          <w:tcPr>
            <w:tcW w:w="2579" w:type="dxa"/>
            <w:vMerge w:val="restart"/>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r>
              <w:rPr>
                <w:rFonts w:hint="eastAsia" w:ascii="宋体" w:hAnsi="宋体" w:cs="宋体"/>
                <w:color w:val="auto"/>
                <w:sz w:val="18"/>
                <w:szCs w:val="18"/>
              </w:rPr>
              <w:t>二选一，必须修满3学分。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8"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33404</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宋体" w:hAnsi="宋体"/>
                <w:iCs/>
                <w:color w:val="auto"/>
                <w:szCs w:val="21"/>
              </w:rPr>
              <w:t>行业</w:t>
            </w:r>
            <w:r>
              <w:rPr>
                <w:rFonts w:ascii="宋体" w:hAnsi="宋体"/>
                <w:iCs/>
                <w:color w:val="auto"/>
                <w:szCs w:val="21"/>
              </w:rPr>
              <w:t>会计</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left w:val="single" w:color="000000" w:sz="4" w:space="0"/>
              <w:right w:val="single" w:color="000000" w:sz="4" w:space="0"/>
            </w:tcBorders>
            <w:vAlign w:val="center"/>
          </w:tcPr>
          <w:p>
            <w:pPr>
              <w:spacing w:line="0" w:lineRule="atLeast"/>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6"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33405</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资产</w:t>
            </w:r>
            <w:r>
              <w:rPr>
                <w:rFonts w:ascii="宋体" w:hAnsi="宋体"/>
                <w:color w:val="auto"/>
                <w:szCs w:val="21"/>
              </w:rPr>
              <w:t>评估实务</w:t>
            </w:r>
          </w:p>
        </w:tc>
        <w:tc>
          <w:tcPr>
            <w:tcW w:w="70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ascii="华文宋体" w:hAnsi="华文宋体" w:eastAsia="华文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restart"/>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r>
              <w:rPr>
                <w:rFonts w:hint="eastAsia" w:ascii="宋体" w:hAnsi="宋体" w:cs="宋体"/>
                <w:color w:val="auto"/>
                <w:sz w:val="18"/>
                <w:szCs w:val="18"/>
              </w:rPr>
              <w:t>二选一，必修满3学分。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33406</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工程</w:t>
            </w:r>
            <w:r>
              <w:rPr>
                <w:rFonts w:ascii="宋体" w:hAnsi="宋体" w:cs="宋体"/>
                <w:color w:val="auto"/>
                <w:szCs w:val="21"/>
              </w:rPr>
              <w:t>项目审计</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33407</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宋体" w:hAnsi="宋体" w:cs="宋体"/>
                <w:color w:val="auto"/>
                <w:szCs w:val="21"/>
              </w:rPr>
            </w:pPr>
            <w:r>
              <w:rPr>
                <w:rFonts w:hint="eastAsia" w:ascii="宋体" w:hAnsi="宋体" w:cs="宋体"/>
                <w:color w:val="auto"/>
                <w:szCs w:val="21"/>
              </w:rPr>
              <w:t>企业</w:t>
            </w:r>
            <w:r>
              <w:rPr>
                <w:rFonts w:ascii="宋体" w:hAnsi="宋体" w:cs="宋体"/>
                <w:color w:val="auto"/>
                <w:szCs w:val="21"/>
              </w:rPr>
              <w:t>战略管理</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restart"/>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r>
              <w:rPr>
                <w:rFonts w:hint="eastAsia" w:ascii="宋体" w:hAnsi="宋体" w:cs="宋体"/>
                <w:color w:val="auto"/>
                <w:sz w:val="18"/>
                <w:szCs w:val="18"/>
              </w:rPr>
              <w:t>二选一，必须修满3学分。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6"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33408</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ascii="宋体" w:hAnsi="宋体"/>
                <w:color w:val="auto"/>
                <w:szCs w:val="21"/>
              </w:rPr>
              <w:t>工程招投</w:t>
            </w:r>
            <w:r>
              <w:rPr>
                <w:rFonts w:hint="eastAsia" w:ascii="宋体" w:hAnsi="宋体"/>
                <w:color w:val="auto"/>
                <w:szCs w:val="21"/>
              </w:rPr>
              <w:t>标</w:t>
            </w:r>
            <w:r>
              <w:rPr>
                <w:rFonts w:ascii="宋体" w:hAnsi="宋体"/>
                <w:color w:val="auto"/>
                <w:szCs w:val="21"/>
              </w:rPr>
              <w:t>与合同管理</w:t>
            </w:r>
          </w:p>
        </w:tc>
        <w:tc>
          <w:tcPr>
            <w:tcW w:w="70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3</w:t>
            </w:r>
          </w:p>
        </w:tc>
        <w:tc>
          <w:tcPr>
            <w:tcW w:w="85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Cs w:val="21"/>
              </w:rPr>
            </w:pPr>
            <w:r>
              <w:rPr>
                <w:rFonts w:ascii="宋体" w:hAnsi="宋体"/>
                <w:color w:val="auto"/>
                <w:szCs w:val="21"/>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rPr>
            </w:pPr>
            <w:r>
              <w:rPr>
                <w:rFonts w:hint="eastAsia" w:ascii="宋体" w:hAnsi="宋体"/>
                <w:color w:val="auto"/>
                <w:szCs w:val="21"/>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33409</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olor w:val="auto"/>
                <w:szCs w:val="21"/>
              </w:rPr>
            </w:pPr>
            <w:r>
              <w:rPr>
                <w:rFonts w:hint="eastAsia" w:ascii="宋体" w:hAnsi="宋体"/>
                <w:color w:val="auto"/>
                <w:szCs w:val="21"/>
              </w:rPr>
              <w:t>手工会计基础实训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restart"/>
            <w:tcBorders>
              <w:top w:val="single" w:color="000000" w:sz="4" w:space="0"/>
              <w:left w:val="single" w:color="000000" w:sz="4" w:space="0"/>
              <w:right w:val="single" w:color="000000" w:sz="4" w:space="0"/>
            </w:tcBorders>
            <w:vAlign w:val="center"/>
          </w:tcPr>
          <w:p>
            <w:pPr>
              <w:spacing w:line="0" w:lineRule="atLeast"/>
              <w:jc w:val="left"/>
              <w:rPr>
                <w:rFonts w:ascii="宋体" w:hAnsi="宋体" w:cs="宋体"/>
                <w:color w:val="auto"/>
                <w:sz w:val="18"/>
                <w:szCs w:val="18"/>
              </w:rPr>
            </w:pPr>
            <w:r>
              <w:rPr>
                <w:rFonts w:hint="eastAsia" w:ascii="宋体" w:hAnsi="宋体" w:cs="宋体"/>
                <w:color w:val="auto"/>
                <w:sz w:val="18"/>
                <w:szCs w:val="18"/>
              </w:rPr>
              <w:t>二选一，必修满1学分。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1" w:hRule="exact"/>
          <w:jc w:val="center"/>
        </w:trPr>
        <w:tc>
          <w:tcPr>
            <w:tcW w:w="584" w:type="dxa"/>
            <w:vMerge w:val="continue"/>
            <w:tcBorders>
              <w:top w:val="single" w:color="auto" w:sz="4" w:space="0"/>
              <w:left w:val="single" w:color="000000" w:sz="4" w:space="0"/>
              <w:right w:val="single" w:color="000000" w:sz="4" w:space="0"/>
            </w:tcBorders>
            <w:vAlign w:val="center"/>
          </w:tcPr>
          <w:p>
            <w:pPr>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33410</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宋体" w:hAnsi="宋体"/>
                <w:color w:val="auto"/>
                <w:szCs w:val="21"/>
              </w:rPr>
              <w:t>手工会计分岗实训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left w:val="single" w:color="000000" w:sz="4" w:space="0"/>
              <w:right w:val="single" w:color="000000" w:sz="4" w:space="0"/>
            </w:tcBorders>
            <w:vAlign w:val="center"/>
          </w:tcPr>
          <w:p>
            <w:pPr>
              <w:spacing w:line="0" w:lineRule="atLeast"/>
              <w:jc w:val="left"/>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w:t>
            </w:r>
            <w:r>
              <w:rPr>
                <w:rFonts w:ascii="宋体" w:hAnsi="宋体"/>
                <w:color w:val="auto"/>
                <w:szCs w:val="21"/>
              </w:rPr>
              <w:t>1</w:t>
            </w:r>
            <w:r>
              <w:rPr>
                <w:rFonts w:hint="eastAsia" w:ascii="宋体" w:hAnsi="宋体"/>
                <w:color w:val="auto"/>
                <w:szCs w:val="21"/>
              </w:rPr>
              <w:t>1</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before="100" w:beforeAutospacing="1" w:after="100" w:afterAutospacing="1"/>
              <w:jc w:val="center"/>
              <w:rPr>
                <w:rFonts w:ascii="MS Mincho" w:hAnsi="MS Mincho" w:cs="MS Mincho"/>
                <w:color w:val="auto"/>
                <w:szCs w:val="21"/>
              </w:rPr>
            </w:pPr>
            <w:r>
              <w:rPr>
                <w:rFonts w:hint="eastAsia" w:ascii="MS Mincho" w:hAnsi="MS Mincho" w:cs="MS Mincho"/>
                <w:color w:val="auto"/>
                <w:szCs w:val="21"/>
              </w:rPr>
              <w:t>建筑企业财务信息化</w:t>
            </w:r>
            <w:r>
              <w:rPr>
                <w:rFonts w:hint="eastAsia" w:ascii="宋体" w:hAnsi="宋体"/>
                <w:color w:val="auto"/>
                <w:szCs w:val="21"/>
              </w:rPr>
              <w:t>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restart"/>
            <w:tcBorders>
              <w:left w:val="single" w:color="000000" w:sz="4" w:space="0"/>
              <w:right w:val="single" w:color="000000" w:sz="4" w:space="0"/>
            </w:tcBorders>
            <w:vAlign w:val="center"/>
          </w:tcPr>
          <w:p>
            <w:pPr>
              <w:spacing w:line="0" w:lineRule="atLeast"/>
              <w:rPr>
                <w:rFonts w:ascii="宋体" w:hAnsi="宋体" w:cs="宋体"/>
                <w:color w:val="auto"/>
                <w:sz w:val="18"/>
                <w:szCs w:val="18"/>
              </w:rPr>
            </w:pPr>
            <w:r>
              <w:rPr>
                <w:rFonts w:hint="eastAsia" w:ascii="宋体" w:hAnsi="宋体" w:cs="宋体"/>
                <w:color w:val="auto"/>
                <w:sz w:val="18"/>
                <w:szCs w:val="18"/>
              </w:rPr>
              <w:t>二选一，必须修满1学分。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7"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w:t>
            </w:r>
            <w:r>
              <w:rPr>
                <w:rFonts w:ascii="宋体" w:hAnsi="宋体"/>
                <w:color w:val="auto"/>
                <w:szCs w:val="21"/>
              </w:rPr>
              <w:t>12</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MS Mincho" w:hAnsi="MS Mincho" w:cs="MS Mincho"/>
                <w:color w:val="auto"/>
                <w:szCs w:val="21"/>
              </w:rPr>
              <w:t>制造企业财务</w:t>
            </w:r>
            <w:r>
              <w:rPr>
                <w:rFonts w:ascii="MS Mincho" w:hAnsi="MS Mincho" w:cs="MS Mincho"/>
                <w:color w:val="auto"/>
                <w:szCs w:val="21"/>
              </w:rPr>
              <w:t>信息化</w:t>
            </w:r>
            <w:r>
              <w:rPr>
                <w:rFonts w:hint="eastAsia" w:ascii="MS Mincho" w:hAnsi="MS Mincho" w:cs="MS Mincho"/>
                <w:color w:val="auto"/>
                <w:szCs w:val="21"/>
              </w:rPr>
              <w:t>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2579" w:type="dxa"/>
            <w:vMerge w:val="continue"/>
            <w:tcBorders>
              <w:left w:val="single" w:color="000000" w:sz="4" w:space="0"/>
              <w:bottom w:val="single" w:color="000000" w:sz="4" w:space="0"/>
              <w:right w:val="single" w:color="000000" w:sz="4" w:space="0"/>
            </w:tcBorders>
            <w:vAlign w:val="center"/>
          </w:tcPr>
          <w:p>
            <w:pPr>
              <w:spacing w:line="0" w:lineRule="atLeast"/>
              <w:jc w:val="left"/>
              <w:rPr>
                <w:rFonts w:ascii="宋体" w:hAnsi="宋体" w:cs="宋体"/>
                <w:i/>
                <w:color w:val="auto"/>
                <w:sz w:val="18"/>
                <w:szCs w:val="1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7"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w:t>
            </w:r>
            <w:r>
              <w:rPr>
                <w:rFonts w:ascii="宋体" w:hAnsi="宋体"/>
                <w:color w:val="auto"/>
                <w:szCs w:val="21"/>
              </w:rPr>
              <w:t>13</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MS Mincho" w:hAnsi="MS Mincho" w:cs="MS Mincho"/>
                <w:color w:val="auto"/>
                <w:szCs w:val="21"/>
              </w:rPr>
            </w:pPr>
            <w:r>
              <w:rPr>
                <w:rFonts w:hint="eastAsia"/>
                <w:color w:val="auto"/>
              </w:rPr>
              <w:t>建筑业税财一体化实训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tcPr>
          <w:p>
            <w:pPr>
              <w:rPr>
                <w:color w:val="auto"/>
              </w:rPr>
            </w:pPr>
          </w:p>
        </w:tc>
        <w:tc>
          <w:tcPr>
            <w:tcW w:w="2579" w:type="dxa"/>
            <w:vMerge w:val="restart"/>
            <w:tcBorders>
              <w:left w:val="single" w:color="000000" w:sz="4" w:space="0"/>
              <w:right w:val="single" w:color="000000" w:sz="4" w:space="0"/>
            </w:tcBorders>
            <w:vAlign w:val="center"/>
          </w:tcPr>
          <w:p>
            <w:pPr>
              <w:spacing w:line="0" w:lineRule="atLeast"/>
              <w:rPr>
                <w:rFonts w:ascii="宋体" w:hAnsi="宋体" w:cs="宋体"/>
                <w:color w:val="auto"/>
                <w:sz w:val="18"/>
                <w:szCs w:val="18"/>
              </w:rPr>
            </w:pPr>
            <w:r>
              <w:rPr>
                <w:rFonts w:hint="eastAsia" w:ascii="宋体" w:hAnsi="宋体" w:cs="宋体"/>
                <w:color w:val="auto"/>
                <w:sz w:val="18"/>
                <w:szCs w:val="18"/>
              </w:rPr>
              <w:t>二选一，必须修满1学分。</w:t>
            </w:r>
          </w:p>
          <w:p>
            <w:pPr>
              <w:pStyle w:val="2"/>
              <w:ind w:firstLine="0" w:firstLineChars="0"/>
              <w:rPr>
                <w:color w:val="auto"/>
              </w:rPr>
            </w:pPr>
            <w:r>
              <w:rPr>
                <w:rFonts w:hint="eastAsia" w:ascii="宋体" w:hAnsi="宋体" w:cs="宋体"/>
                <w:color w:val="auto"/>
                <w:sz w:val="18"/>
                <w:szCs w:val="18"/>
              </w:rPr>
              <w:t>创新创业类课程。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8"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w:t>
            </w:r>
            <w:r>
              <w:rPr>
                <w:rFonts w:ascii="宋体" w:hAnsi="宋体"/>
                <w:color w:val="auto"/>
                <w:szCs w:val="21"/>
              </w:rPr>
              <w:t>14</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MS Mincho" w:hAnsi="MS Mincho" w:cs="MS Mincho"/>
                <w:color w:val="auto"/>
                <w:szCs w:val="21"/>
              </w:rPr>
            </w:pPr>
            <w:r>
              <w:rPr>
                <w:rFonts w:hint="eastAsia" w:ascii="MS Mincho" w:hAnsi="MS Mincho" w:cs="MS Mincho"/>
                <w:color w:val="auto"/>
                <w:szCs w:val="21"/>
              </w:rPr>
              <w:t>制造企业全流程实战实训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tcPr>
          <w:p>
            <w:pPr>
              <w:spacing w:line="0" w:lineRule="atLeast"/>
              <w:jc w:val="center"/>
              <w:rPr>
                <w:rFonts w:ascii="宋体" w:hAnsi="宋体"/>
                <w:color w:val="auto"/>
                <w:szCs w:val="21"/>
              </w:rPr>
            </w:pPr>
          </w:p>
        </w:tc>
        <w:tc>
          <w:tcPr>
            <w:tcW w:w="2579" w:type="dxa"/>
            <w:vMerge w:val="continue"/>
            <w:tcBorders>
              <w:left w:val="single" w:color="000000" w:sz="4" w:space="0"/>
              <w:bottom w:val="single" w:color="000000" w:sz="4" w:space="0"/>
              <w:right w:val="single" w:color="000000" w:sz="4" w:space="0"/>
            </w:tcBorders>
          </w:tcPr>
          <w:p>
            <w:pPr>
              <w:spacing w:line="0" w:lineRule="atLeast"/>
              <w:jc w:val="left"/>
              <w:rPr>
                <w:rFonts w:ascii="宋体" w:hAnsi="宋体" w:cs="宋体"/>
                <w:i/>
                <w:color w:val="auto"/>
                <w:sz w:val="18"/>
                <w:szCs w:val="1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w:t>
            </w:r>
            <w:r>
              <w:rPr>
                <w:rFonts w:ascii="宋体" w:hAnsi="宋体"/>
                <w:color w:val="auto"/>
                <w:szCs w:val="21"/>
              </w:rPr>
              <w:t>15</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建筑经营管理综合实训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r>
              <w:rPr>
                <w:rFonts w:hint="eastAsia" w:ascii="宋体" w:hAnsi="宋体"/>
                <w:color w:val="auto"/>
                <w:szCs w:val="21"/>
              </w:rPr>
              <w:t>W</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tcPr>
          <w:p>
            <w:pPr>
              <w:rPr>
                <w:color w:val="auto"/>
              </w:rPr>
            </w:pPr>
          </w:p>
        </w:tc>
        <w:tc>
          <w:tcPr>
            <w:tcW w:w="2579" w:type="dxa"/>
            <w:vMerge w:val="restart"/>
            <w:tcBorders>
              <w:left w:val="single" w:color="000000" w:sz="4" w:space="0"/>
              <w:right w:val="single" w:color="000000" w:sz="4" w:space="0"/>
            </w:tcBorders>
            <w:vAlign w:val="center"/>
          </w:tcPr>
          <w:p>
            <w:pPr>
              <w:spacing w:line="0" w:lineRule="atLeast"/>
              <w:rPr>
                <w:rFonts w:ascii="宋体" w:hAnsi="宋体" w:cs="宋体"/>
                <w:color w:val="auto"/>
                <w:sz w:val="18"/>
                <w:szCs w:val="18"/>
              </w:rPr>
            </w:pPr>
            <w:r>
              <w:rPr>
                <w:rFonts w:hint="eastAsia" w:ascii="宋体" w:hAnsi="宋体" w:cs="宋体"/>
                <w:color w:val="auto"/>
                <w:sz w:val="18"/>
                <w:szCs w:val="18"/>
              </w:rPr>
              <w:t>二选一，必须修满1学分。</w:t>
            </w:r>
          </w:p>
          <w:p>
            <w:pPr>
              <w:pStyle w:val="2"/>
              <w:ind w:firstLine="0" w:firstLineChars="0"/>
              <w:rPr>
                <w:color w:val="auto"/>
              </w:rPr>
            </w:pPr>
            <w:r>
              <w:rPr>
                <w:rFonts w:hint="eastAsia" w:ascii="宋体" w:hAnsi="宋体" w:cs="宋体"/>
                <w:color w:val="auto"/>
                <w:sz w:val="18"/>
                <w:szCs w:val="18"/>
              </w:rPr>
              <w:t>创新创业类课程。</w:t>
            </w:r>
          </w:p>
          <w:p>
            <w:pPr>
              <w:pStyle w:val="2"/>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exact"/>
          <w:jc w:val="center"/>
        </w:trPr>
        <w:tc>
          <w:tcPr>
            <w:tcW w:w="584" w:type="dxa"/>
            <w:vMerge w:val="continue"/>
            <w:tcBorders>
              <w:left w:val="single" w:color="000000" w:sz="4" w:space="0"/>
              <w:right w:val="single" w:color="000000" w:sz="4" w:space="0"/>
            </w:tcBorders>
            <w:vAlign w:val="center"/>
          </w:tcPr>
          <w:p>
            <w:pPr>
              <w:widowControl/>
              <w:jc w:val="center"/>
              <w:rPr>
                <w:rFonts w:ascii="宋体" w:hAnsi="宋体"/>
                <w:color w:val="auto"/>
                <w:szCs w:val="21"/>
              </w:rPr>
            </w:pPr>
          </w:p>
        </w:tc>
        <w:tc>
          <w:tcPr>
            <w:tcW w:w="625" w:type="dxa"/>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1421" w:type="dxa"/>
            <w:tcBorders>
              <w:top w:val="single" w:color="000000" w:sz="4" w:space="0"/>
              <w:left w:val="single" w:color="000000" w:sz="4" w:space="0"/>
              <w:bottom w:val="single" w:color="000000" w:sz="4" w:space="0"/>
              <w:right w:val="single" w:color="auto" w:sz="4" w:space="0"/>
            </w:tcBorders>
            <w:vAlign w:val="center"/>
          </w:tcPr>
          <w:p>
            <w:pPr>
              <w:jc w:val="center"/>
              <w:rPr>
                <w:color w:val="auto"/>
              </w:rPr>
            </w:pPr>
            <w:r>
              <w:rPr>
                <w:rFonts w:hint="eastAsia" w:ascii="宋体" w:hAnsi="宋体"/>
                <w:color w:val="auto"/>
                <w:szCs w:val="21"/>
                <w:lang w:eastAsia="zh-CN"/>
              </w:rPr>
              <w:t>2</w:t>
            </w:r>
            <w:r>
              <w:rPr>
                <w:rFonts w:hint="eastAsia" w:ascii="宋体" w:hAnsi="宋体"/>
                <w:color w:val="auto"/>
                <w:szCs w:val="21"/>
                <w:lang w:val="en-US" w:eastAsia="zh-CN"/>
              </w:rPr>
              <w:t>2</w:t>
            </w:r>
            <w:r>
              <w:rPr>
                <w:rFonts w:hint="eastAsia" w:ascii="宋体" w:hAnsi="宋体"/>
                <w:color w:val="auto"/>
                <w:szCs w:val="21"/>
                <w:lang w:eastAsia="zh-CN"/>
              </w:rPr>
              <w:t>03</w:t>
            </w:r>
            <w:r>
              <w:rPr>
                <w:rFonts w:hint="eastAsia" w:ascii="宋体" w:hAnsi="宋体"/>
                <w:color w:val="auto"/>
                <w:szCs w:val="21"/>
              </w:rPr>
              <w:t>334</w:t>
            </w:r>
            <w:r>
              <w:rPr>
                <w:rFonts w:ascii="宋体" w:hAnsi="宋体"/>
                <w:color w:val="auto"/>
                <w:szCs w:val="21"/>
              </w:rPr>
              <w:t>16</w:t>
            </w:r>
          </w:p>
        </w:tc>
        <w:tc>
          <w:tcPr>
            <w:tcW w:w="2718" w:type="dxa"/>
            <w:gridSpan w:val="2"/>
            <w:tcBorders>
              <w:top w:val="single" w:color="000000" w:sz="4" w:space="0"/>
              <w:left w:val="single" w:color="auto" w:sz="4" w:space="0"/>
              <w:bottom w:val="single" w:color="000000" w:sz="4" w:space="0"/>
              <w:right w:val="single" w:color="000000" w:sz="2" w:space="0"/>
            </w:tcBorders>
            <w:vAlign w:val="center"/>
          </w:tcPr>
          <w:p>
            <w:pPr>
              <w:spacing w:line="0" w:lineRule="atLeast"/>
              <w:jc w:val="center"/>
              <w:rPr>
                <w:rFonts w:ascii="宋体" w:hAnsi="宋体" w:cs="宋体"/>
                <w:iCs/>
                <w:color w:val="auto"/>
                <w:szCs w:val="21"/>
              </w:rPr>
            </w:pPr>
            <w:r>
              <w:rPr>
                <w:rFonts w:hint="eastAsia" w:ascii="宋体" w:hAnsi="宋体" w:cs="宋体"/>
                <w:iCs/>
                <w:color w:val="auto"/>
                <w:szCs w:val="21"/>
              </w:rPr>
              <w:t>企业经营管理沙盘实训</w:t>
            </w:r>
          </w:p>
        </w:tc>
        <w:tc>
          <w:tcPr>
            <w:tcW w:w="709"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p>
        </w:tc>
        <w:tc>
          <w:tcPr>
            <w:tcW w:w="850" w:type="dxa"/>
            <w:tcBorders>
              <w:top w:val="single" w:color="000000" w:sz="4" w:space="0"/>
              <w:left w:val="single" w:color="000000" w:sz="12" w:space="0"/>
              <w:bottom w:val="single" w:color="000000" w:sz="4" w:space="0"/>
              <w:right w:val="single" w:color="000000" w:sz="4" w:space="0"/>
            </w:tcBorders>
            <w:vAlign w:val="center"/>
          </w:tcPr>
          <w:p>
            <w:pPr>
              <w:spacing w:line="0" w:lineRule="atLeast"/>
              <w:jc w:val="center"/>
              <w:rPr>
                <w:rFonts w:ascii="宋体" w:hAnsi="宋体"/>
                <w:color w:val="auto"/>
                <w:kern w:val="0"/>
                <w:szCs w:val="21"/>
              </w:rPr>
            </w:pPr>
            <w:r>
              <w:rPr>
                <w:rFonts w:ascii="宋体" w:hAnsi="宋体"/>
                <w:color w:val="auto"/>
                <w:szCs w:val="21"/>
              </w:rPr>
              <w:t>24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r>
              <w:rPr>
                <w:rFonts w:ascii="宋体" w:hAnsi="宋体"/>
                <w:color w:val="auto"/>
                <w:szCs w:val="21"/>
              </w:rPr>
              <w:t>1</w:t>
            </w:r>
            <w:r>
              <w:rPr>
                <w:rFonts w:hint="eastAsia" w:ascii="宋体" w:hAnsi="宋体"/>
                <w:color w:val="auto"/>
                <w:szCs w:val="21"/>
              </w:rPr>
              <w:t>W</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tcPr>
          <w:p>
            <w:pPr>
              <w:rPr>
                <w:color w:val="auto"/>
              </w:rPr>
            </w:pPr>
          </w:p>
        </w:tc>
        <w:tc>
          <w:tcPr>
            <w:tcW w:w="2579" w:type="dxa"/>
            <w:vMerge w:val="continue"/>
            <w:tcBorders>
              <w:left w:val="single" w:color="000000" w:sz="4" w:space="0"/>
              <w:right w:val="single" w:color="000000" w:sz="4" w:space="0"/>
            </w:tcBorders>
          </w:tcPr>
          <w:p>
            <w:pPr>
              <w:spacing w:line="0" w:lineRule="atLeast"/>
              <w:jc w:val="left"/>
              <w:rPr>
                <w:rFonts w:ascii="宋体" w:hAnsi="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7" w:hRule="exact"/>
          <w:jc w:val="center"/>
        </w:trPr>
        <w:tc>
          <w:tcPr>
            <w:tcW w:w="58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auto"/>
                <w:szCs w:val="21"/>
              </w:rPr>
            </w:pPr>
          </w:p>
        </w:tc>
        <w:tc>
          <w:tcPr>
            <w:tcW w:w="4764" w:type="dxa"/>
            <w:gridSpan w:val="4"/>
            <w:tcBorders>
              <w:top w:val="single" w:color="auto" w:sz="4" w:space="0"/>
              <w:left w:val="single" w:color="000000" w:sz="4" w:space="0"/>
              <w:bottom w:val="single" w:color="000000" w:sz="4" w:space="0"/>
              <w:right w:val="single" w:color="000000" w:sz="2"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专业拓展课合计</w:t>
            </w:r>
          </w:p>
        </w:tc>
        <w:tc>
          <w:tcPr>
            <w:tcW w:w="709"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17</w:t>
            </w:r>
          </w:p>
        </w:tc>
        <w:tc>
          <w:tcPr>
            <w:tcW w:w="850"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304</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1W</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ascii="宋体" w:hAnsi="宋体"/>
                <w:color w:val="auto"/>
                <w:szCs w:val="21"/>
              </w:rPr>
              <w:t>4</w:t>
            </w:r>
            <w:r>
              <w:rPr>
                <w:rFonts w:hint="eastAsia" w:ascii="宋体" w:hAnsi="宋体"/>
                <w:color w:val="auto"/>
                <w:szCs w:val="21"/>
              </w:rPr>
              <w:t>+1W</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3+1W</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8+</w:t>
            </w:r>
            <w:r>
              <w:rPr>
                <w:rFonts w:ascii="宋体" w:hAnsi="宋体"/>
                <w:color w:val="auto"/>
                <w:szCs w:val="21"/>
              </w:rPr>
              <w:t>1</w:t>
            </w:r>
            <w:r>
              <w:rPr>
                <w:rFonts w:hint="eastAsia" w:ascii="宋体" w:hAnsi="宋体"/>
                <w:color w:val="auto"/>
                <w:szCs w:val="21"/>
              </w:rPr>
              <w:t>W</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c>
          <w:tcPr>
            <w:tcW w:w="257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rPr>
                <w:rFonts w:ascii="宋体" w:hAnsi="宋体" w:cs="宋体"/>
                <w:color w:val="auto"/>
                <w:sz w:val="18"/>
                <w:szCs w:val="18"/>
                <w:highlight w:val="yellow"/>
              </w:rPr>
            </w:pPr>
            <w:r>
              <w:rPr>
                <w:rFonts w:hint="eastAsia" w:ascii="宋体" w:hAnsi="宋体" w:cs="宋体"/>
                <w:color w:val="auto"/>
                <w:sz w:val="18"/>
                <w:szCs w:val="18"/>
              </w:rPr>
              <w:t>34学分选17学分；课程16选8。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jc w:val="center"/>
        </w:trPr>
        <w:tc>
          <w:tcPr>
            <w:tcW w:w="5348" w:type="dxa"/>
            <w:gridSpan w:val="5"/>
            <w:tcBorders>
              <w:top w:val="single" w:color="000000" w:sz="4" w:space="0"/>
              <w:left w:val="single" w:color="000000" w:sz="4" w:space="0"/>
              <w:bottom w:val="single" w:color="000000" w:sz="4" w:space="0"/>
              <w:right w:val="single" w:color="000000" w:sz="2"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总合计</w:t>
            </w:r>
          </w:p>
        </w:tc>
        <w:tc>
          <w:tcPr>
            <w:tcW w:w="709"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 w:val="18"/>
                <w:szCs w:val="18"/>
              </w:rPr>
            </w:pPr>
            <w:r>
              <w:rPr>
                <w:rFonts w:hint="eastAsia" w:ascii="宋体" w:hAnsi="宋体"/>
                <w:color w:val="auto"/>
                <w:sz w:val="18"/>
                <w:szCs w:val="18"/>
              </w:rPr>
              <w:t>15</w:t>
            </w:r>
            <w:r>
              <w:rPr>
                <w:rFonts w:hint="eastAsia" w:ascii="宋体" w:hAnsi="宋体"/>
                <w:color w:val="auto"/>
                <w:sz w:val="18"/>
                <w:szCs w:val="18"/>
                <w:lang w:val="en-US" w:eastAsia="zh-CN"/>
              </w:rPr>
              <w:t>6</w:t>
            </w:r>
            <w:r>
              <w:rPr>
                <w:rFonts w:hint="eastAsia" w:ascii="宋体" w:hAnsi="宋体"/>
                <w:color w:val="auto"/>
                <w:sz w:val="18"/>
                <w:szCs w:val="18"/>
              </w:rPr>
              <w:t>.5</w:t>
            </w:r>
          </w:p>
        </w:tc>
        <w:tc>
          <w:tcPr>
            <w:tcW w:w="850" w:type="dxa"/>
            <w:tcBorders>
              <w:top w:val="single" w:color="000000" w:sz="4" w:space="0"/>
              <w:left w:val="single" w:color="000000" w:sz="12" w:space="0"/>
              <w:bottom w:val="single" w:color="000000" w:sz="4" w:space="0"/>
              <w:right w:val="single" w:color="000000" w:sz="4" w:space="0"/>
            </w:tcBorders>
            <w:shd w:val="clear" w:color="auto" w:fill="B3B3B3"/>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654</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hint="default" w:ascii="宋体" w:hAnsi="宋体" w:eastAsia="宋体"/>
                <w:color w:val="auto"/>
                <w:szCs w:val="21"/>
                <w:lang w:val="en-US" w:eastAsia="zh-CN"/>
              </w:rPr>
            </w:pPr>
            <w:r>
              <w:rPr>
                <w:rFonts w:hint="eastAsia" w:ascii="宋体" w:hAnsi="宋体"/>
                <w:color w:val="auto"/>
                <w:szCs w:val="21"/>
              </w:rPr>
              <w:t>16</w:t>
            </w:r>
            <w:r>
              <w:rPr>
                <w:rFonts w:hint="eastAsia" w:ascii="宋体" w:hAnsi="宋体"/>
                <w:color w:val="auto"/>
                <w:szCs w:val="21"/>
                <w:lang w:val="en-US" w:eastAsia="zh-CN"/>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7</w:t>
            </w:r>
            <w:r>
              <w:rPr>
                <w:rFonts w:ascii="宋体" w:hAnsi="宋体"/>
                <w:color w:val="auto"/>
                <w:sz w:val="18"/>
                <w:szCs w:val="18"/>
              </w:rPr>
              <w:t>.5</w:t>
            </w:r>
            <w:r>
              <w:rPr>
                <w:rFonts w:hint="eastAsia" w:ascii="宋体" w:hAnsi="宋体"/>
                <w:color w:val="auto"/>
                <w:sz w:val="18"/>
                <w:szCs w:val="18"/>
              </w:rPr>
              <w:t>+2W</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4</w:t>
            </w:r>
            <w:r>
              <w:rPr>
                <w:rFonts w:ascii="宋体" w:hAnsi="宋体"/>
                <w:color w:val="auto"/>
                <w:sz w:val="18"/>
                <w:szCs w:val="18"/>
              </w:rPr>
              <w:t>.5</w:t>
            </w:r>
            <w:r>
              <w:rPr>
                <w:rFonts w:hint="eastAsia" w:ascii="宋体" w:hAnsi="宋体"/>
                <w:color w:val="auto"/>
                <w:sz w:val="18"/>
                <w:szCs w:val="18"/>
              </w:rPr>
              <w:t>+2W</w:t>
            </w:r>
          </w:p>
        </w:tc>
        <w:tc>
          <w:tcPr>
            <w:tcW w:w="850"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 w:val="18"/>
                <w:szCs w:val="18"/>
              </w:rPr>
            </w:pPr>
            <w:r>
              <w:rPr>
                <w:rFonts w:hint="eastAsia" w:ascii="宋体" w:hAnsi="宋体"/>
                <w:color w:val="auto"/>
                <w:sz w:val="18"/>
                <w:szCs w:val="18"/>
              </w:rPr>
              <w:t>24</w:t>
            </w:r>
            <w:r>
              <w:rPr>
                <w:rFonts w:ascii="宋体" w:hAnsi="宋体"/>
                <w:color w:val="auto"/>
                <w:sz w:val="18"/>
                <w:szCs w:val="18"/>
              </w:rPr>
              <w:t>.5</w:t>
            </w:r>
            <w:r>
              <w:rPr>
                <w:rFonts w:hint="eastAsia" w:ascii="宋体" w:hAnsi="宋体"/>
                <w:color w:val="auto"/>
                <w:sz w:val="18"/>
                <w:szCs w:val="18"/>
              </w:rPr>
              <w:t>+</w:t>
            </w:r>
            <w:r>
              <w:rPr>
                <w:rFonts w:ascii="宋体" w:hAnsi="宋体"/>
                <w:color w:val="auto"/>
                <w:sz w:val="18"/>
                <w:szCs w:val="18"/>
              </w:rPr>
              <w:t>2</w:t>
            </w:r>
            <w:r>
              <w:rPr>
                <w:rFonts w:hint="eastAsia" w:ascii="宋体" w:hAnsi="宋体"/>
                <w:color w:val="auto"/>
                <w:sz w:val="18"/>
                <w:szCs w:val="18"/>
              </w:rPr>
              <w:t>W</w:t>
            </w:r>
          </w:p>
        </w:tc>
        <w:tc>
          <w:tcPr>
            <w:tcW w:w="851"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rPr>
                <w:rFonts w:ascii="宋体" w:hAnsi="宋体"/>
                <w:color w:val="auto"/>
                <w:sz w:val="18"/>
                <w:szCs w:val="18"/>
              </w:rPr>
            </w:pPr>
            <w:r>
              <w:rPr>
                <w:rFonts w:hint="eastAsia" w:ascii="宋体" w:hAnsi="宋体"/>
                <w:color w:val="auto"/>
                <w:sz w:val="18"/>
                <w:szCs w:val="18"/>
              </w:rPr>
              <w:t>25</w:t>
            </w:r>
            <w:r>
              <w:rPr>
                <w:rFonts w:ascii="宋体" w:hAnsi="宋体"/>
                <w:color w:val="auto"/>
                <w:sz w:val="18"/>
                <w:szCs w:val="18"/>
              </w:rPr>
              <w:t>.5</w:t>
            </w:r>
            <w:r>
              <w:rPr>
                <w:rFonts w:hint="eastAsia" w:ascii="宋体" w:hAnsi="宋体"/>
                <w:color w:val="auto"/>
                <w:sz w:val="18"/>
                <w:szCs w:val="18"/>
              </w:rPr>
              <w:t>+2W</w:t>
            </w:r>
          </w:p>
        </w:tc>
        <w:tc>
          <w:tcPr>
            <w:tcW w:w="70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W</w:t>
            </w:r>
          </w:p>
        </w:tc>
        <w:tc>
          <w:tcPr>
            <w:tcW w:w="708"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W</w:t>
            </w:r>
          </w:p>
        </w:tc>
        <w:tc>
          <w:tcPr>
            <w:tcW w:w="2579" w:type="dxa"/>
            <w:tcBorders>
              <w:top w:val="single" w:color="000000" w:sz="4" w:space="0"/>
              <w:left w:val="single" w:color="000000" w:sz="4" w:space="0"/>
              <w:bottom w:val="single" w:color="000000" w:sz="4" w:space="0"/>
              <w:right w:val="single" w:color="000000" w:sz="4" w:space="0"/>
            </w:tcBorders>
            <w:shd w:val="clear" w:color="auto" w:fill="B3B3B3"/>
            <w:vAlign w:val="center"/>
          </w:tcPr>
          <w:p>
            <w:pPr>
              <w:spacing w:line="0" w:lineRule="atLeast"/>
              <w:jc w:val="center"/>
              <w:rPr>
                <w:rFonts w:ascii="宋体" w:hAnsi="宋体"/>
                <w:color w:val="auto"/>
                <w:szCs w:val="21"/>
              </w:rPr>
            </w:pPr>
          </w:p>
        </w:tc>
      </w:tr>
    </w:tbl>
    <w:p>
      <w:pPr>
        <w:rPr>
          <w:rFonts w:ascii="宋体" w:hAnsi="宋体" w:cs="宋体"/>
          <w:color w:val="auto"/>
        </w:rPr>
      </w:pPr>
      <w:r>
        <w:rPr>
          <w:rFonts w:hint="eastAsia" w:ascii="宋体" w:hAnsi="宋体" w:cs="宋体"/>
          <w:color w:val="auto"/>
          <w:szCs w:val="21"/>
        </w:rPr>
        <w:t xml:space="preserve">注：  </w:t>
      </w:r>
      <w:r>
        <w:rPr>
          <w:rFonts w:hint="eastAsia" w:ascii="宋体" w:hAnsi="宋体" w:cs="宋体"/>
          <w:color w:val="auto"/>
        </w:rPr>
        <w:t xml:space="preserve">1.理论教学（含理实一体）1个学分计16学时计算；实训周1周计1学分（24学时）；假期社会实践、大三阶段的实践1周计1学分（20学时）。 </w:t>
      </w:r>
    </w:p>
    <w:p>
      <w:pPr>
        <w:ind w:firstLine="630" w:firstLineChars="300"/>
        <w:rPr>
          <w:rFonts w:ascii="宋体" w:hAnsi="宋体" w:cs="宋体"/>
          <w:color w:val="auto"/>
        </w:rPr>
      </w:pPr>
      <w:r>
        <w:rPr>
          <w:rFonts w:hint="eastAsia" w:ascii="宋体" w:hAnsi="宋体" w:cs="宋体"/>
          <w:color w:val="auto"/>
        </w:rPr>
        <w:t>2.带“*”为核心课程，带“W”为以周记的学时，带“▲”为考试学期，</w:t>
      </w:r>
      <w:r>
        <w:rPr>
          <w:rFonts w:hint="eastAsia"/>
          <w:bCs/>
          <w:snapToGrid w:val="0"/>
          <w:color w:val="auto"/>
          <w:szCs w:val="21"/>
        </w:rPr>
        <w:t>（）为在线课程学习，不在周排课安排。</w:t>
      </w:r>
    </w:p>
    <w:p>
      <w:pPr>
        <w:ind w:firstLine="630" w:firstLineChars="300"/>
        <w:rPr>
          <w:rFonts w:ascii="宋体" w:hAnsi="宋体" w:cs="宋体"/>
          <w:color w:val="auto"/>
        </w:rPr>
      </w:pPr>
    </w:p>
    <w:p>
      <w:pPr>
        <w:ind w:firstLine="540" w:firstLineChars="300"/>
        <w:rPr>
          <w:color w:val="auto"/>
          <w:sz w:val="18"/>
          <w:szCs w:val="18"/>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440" w:right="1440" w:bottom="1440" w:left="1440" w:header="851" w:footer="992" w:gutter="0"/>
          <w:cols w:space="720" w:num="1"/>
          <w:docGrid w:type="linesAndChars" w:linePitch="312" w:charSpace="0"/>
        </w:sectPr>
      </w:pPr>
    </w:p>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九、教学学时、学分分配比例表</w:t>
      </w:r>
    </w:p>
    <w:p>
      <w:pPr>
        <w:pStyle w:val="7"/>
        <w:adjustRightInd w:val="0"/>
        <w:snapToGrid w:val="0"/>
        <w:spacing w:before="0" w:beforeAutospacing="0" w:after="0" w:afterAutospacing="0" w:line="240" w:lineRule="atLeast"/>
        <w:ind w:left="420" w:leftChars="200"/>
        <w:jc w:val="center"/>
        <w:rPr>
          <w:rFonts w:ascii="黑体" w:eastAsia="黑体"/>
          <w:color w:val="auto"/>
          <w:kern w:val="2"/>
          <w:sz w:val="28"/>
          <w:szCs w:val="28"/>
        </w:rPr>
      </w:pPr>
      <w:r>
        <w:rPr>
          <w:rFonts w:hint="eastAsia" w:cs="宋体"/>
          <w:bCs/>
          <w:color w:val="auto"/>
          <w:kern w:val="2"/>
        </w:rPr>
        <w:t>表8 教学学时、学分分配比例表</w:t>
      </w:r>
    </w:p>
    <w:tbl>
      <w:tblPr>
        <w:tblStyle w:val="8"/>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0"/>
        <w:gridCol w:w="90"/>
        <w:gridCol w:w="1623"/>
        <w:gridCol w:w="1440"/>
        <w:gridCol w:w="1368"/>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tcBorders>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阶段</w:t>
            </w: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课程类别</w:t>
            </w:r>
          </w:p>
        </w:tc>
        <w:tc>
          <w:tcPr>
            <w:tcW w:w="1440" w:type="dxa"/>
            <w:tcBorders>
              <w:lef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学时数</w:t>
            </w:r>
          </w:p>
        </w:tc>
        <w:tc>
          <w:tcPr>
            <w:tcW w:w="1368" w:type="dxa"/>
            <w:vAlign w:val="center"/>
          </w:tcPr>
          <w:p>
            <w:pPr>
              <w:spacing w:line="0" w:lineRule="atLeast"/>
              <w:jc w:val="center"/>
              <w:rPr>
                <w:rFonts w:ascii="宋体" w:hAnsi="宋体" w:cs="宋体"/>
                <w:color w:val="auto"/>
                <w:szCs w:val="21"/>
              </w:rPr>
            </w:pPr>
            <w:r>
              <w:rPr>
                <w:rFonts w:hint="eastAsia" w:ascii="宋体" w:hAnsi="宋体" w:cs="宋体"/>
                <w:color w:val="auto"/>
                <w:szCs w:val="21"/>
              </w:rPr>
              <w:t>学分</w:t>
            </w:r>
          </w:p>
        </w:tc>
        <w:tc>
          <w:tcPr>
            <w:tcW w:w="2252" w:type="dxa"/>
            <w:vAlign w:val="center"/>
          </w:tcPr>
          <w:p>
            <w:pPr>
              <w:spacing w:line="0" w:lineRule="atLeast"/>
              <w:jc w:val="center"/>
              <w:rPr>
                <w:rFonts w:ascii="宋体" w:hAnsi="宋体" w:cs="宋体"/>
                <w:color w:val="auto"/>
                <w:szCs w:val="21"/>
              </w:rPr>
            </w:pPr>
            <w:r>
              <w:rPr>
                <w:rFonts w:hint="eastAsia" w:ascii="宋体" w:hAnsi="宋体" w:cs="宋体"/>
                <w:color w:val="auto"/>
                <w:szCs w:val="21"/>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restart"/>
            <w:tcBorders>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大一与</w:t>
            </w:r>
          </w:p>
          <w:p>
            <w:pPr>
              <w:spacing w:line="0" w:lineRule="atLeast"/>
              <w:jc w:val="center"/>
              <w:rPr>
                <w:rFonts w:ascii="宋体" w:hAnsi="宋体" w:cs="宋体"/>
                <w:color w:val="auto"/>
                <w:szCs w:val="21"/>
              </w:rPr>
            </w:pPr>
            <w:r>
              <w:rPr>
                <w:rFonts w:hint="eastAsia" w:ascii="宋体" w:hAnsi="宋体" w:cs="宋体"/>
                <w:color w:val="auto"/>
                <w:szCs w:val="21"/>
              </w:rPr>
              <w:t>大二</w:t>
            </w:r>
          </w:p>
        </w:tc>
        <w:tc>
          <w:tcPr>
            <w:tcW w:w="1890" w:type="dxa"/>
            <w:gridSpan w:val="2"/>
            <w:vMerge w:val="restart"/>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olor w:val="auto"/>
                <w:szCs w:val="21"/>
              </w:rPr>
              <w:t>公共基础课</w:t>
            </w:r>
          </w:p>
        </w:tc>
        <w:tc>
          <w:tcPr>
            <w:tcW w:w="1623" w:type="dxa"/>
            <w:tcBorders>
              <w:bottom w:val="single" w:color="000000"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必修</w:t>
            </w:r>
          </w:p>
        </w:tc>
        <w:tc>
          <w:tcPr>
            <w:tcW w:w="1440" w:type="dxa"/>
            <w:tcBorders>
              <w:left w:val="single" w:color="000000" w:sz="4" w:space="0"/>
              <w:bottom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iCs w:val="0"/>
                <w:color w:val="auto"/>
                <w:kern w:val="0"/>
                <w:sz w:val="21"/>
                <w:szCs w:val="21"/>
                <w:u w:val="none"/>
                <w:lang w:val="en-US" w:eastAsia="zh-CN" w:bidi="ar"/>
              </w:rPr>
              <w:t>422</w:t>
            </w:r>
          </w:p>
        </w:tc>
        <w:tc>
          <w:tcPr>
            <w:tcW w:w="1368" w:type="dxa"/>
            <w:tcBorders>
              <w:bottom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iCs w:val="0"/>
                <w:color w:val="auto"/>
                <w:kern w:val="0"/>
                <w:sz w:val="21"/>
                <w:szCs w:val="21"/>
                <w:u w:val="none"/>
                <w:lang w:val="en-US" w:eastAsia="zh-CN" w:bidi="ar"/>
              </w:rPr>
              <w:t>27</w:t>
            </w:r>
          </w:p>
        </w:tc>
        <w:tc>
          <w:tcPr>
            <w:tcW w:w="2252" w:type="dxa"/>
            <w:tcBorders>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1890" w:type="dxa"/>
            <w:gridSpan w:val="2"/>
            <w:vMerge w:val="continue"/>
            <w:tcBorders>
              <w:left w:val="single" w:color="auto" w:sz="4" w:space="0"/>
              <w:right w:val="single" w:color="000000" w:sz="4" w:space="0"/>
            </w:tcBorders>
            <w:vAlign w:val="center"/>
          </w:tcPr>
          <w:p>
            <w:pPr>
              <w:spacing w:line="0" w:lineRule="atLeast"/>
              <w:jc w:val="center"/>
              <w:rPr>
                <w:rFonts w:ascii="宋体" w:hAnsi="宋体" w:cs="宋体"/>
                <w:color w:val="auto"/>
                <w:szCs w:val="21"/>
              </w:rPr>
            </w:pPr>
          </w:p>
        </w:tc>
        <w:tc>
          <w:tcPr>
            <w:tcW w:w="1623" w:type="dxa"/>
            <w:tcBorders>
              <w:top w:val="single" w:color="000000"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选修</w:t>
            </w:r>
          </w:p>
        </w:tc>
        <w:tc>
          <w:tcPr>
            <w:tcW w:w="1440" w:type="dxa"/>
            <w:tcBorders>
              <w:top w:val="single" w:color="000000" w:sz="4" w:space="0"/>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256</w:t>
            </w:r>
          </w:p>
        </w:tc>
        <w:tc>
          <w:tcPr>
            <w:tcW w:w="1368" w:type="dxa"/>
            <w:tcBorders>
              <w:top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18</w:t>
            </w:r>
          </w:p>
        </w:tc>
        <w:tc>
          <w:tcPr>
            <w:tcW w:w="2252" w:type="dxa"/>
            <w:tcBorders>
              <w:top w:val="single" w:color="000000" w:sz="4" w:space="0"/>
            </w:tcBorders>
            <w:vAlign w:val="center"/>
          </w:tcPr>
          <w:p>
            <w:pPr>
              <w:keepNext w:val="0"/>
              <w:keepLines w:val="0"/>
              <w:widowControl/>
              <w:suppressLineNumbers w:val="0"/>
              <w:jc w:val="center"/>
              <w:textAlignment w:val="center"/>
              <w:rPr>
                <w:rFonts w:hint="default" w:ascii="宋体" w:hAnsi="宋体" w:cs="宋体"/>
                <w:color w:val="auto"/>
                <w:szCs w:val="21"/>
                <w:lang w:val="en-US"/>
              </w:rPr>
            </w:pPr>
            <w:r>
              <w:rPr>
                <w:rFonts w:hint="eastAsia" w:ascii="宋体" w:hAnsi="宋体" w:eastAsia="宋体" w:cs="宋体"/>
                <w:i w:val="0"/>
                <w:iCs w:val="0"/>
                <w:color w:val="auto"/>
                <w:kern w:val="0"/>
                <w:sz w:val="21"/>
                <w:szCs w:val="21"/>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1890" w:type="dxa"/>
            <w:gridSpan w:val="2"/>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专业群平台课</w:t>
            </w:r>
          </w:p>
        </w:tc>
        <w:tc>
          <w:tcPr>
            <w:tcW w:w="1623" w:type="dxa"/>
            <w:tcBorders>
              <w:bottom w:val="single" w:color="000000"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必修</w:t>
            </w:r>
          </w:p>
        </w:tc>
        <w:tc>
          <w:tcPr>
            <w:tcW w:w="1440" w:type="dxa"/>
            <w:tcBorders>
              <w:left w:val="single" w:color="000000" w:sz="4" w:space="0"/>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176</w:t>
            </w:r>
          </w:p>
        </w:tc>
        <w:tc>
          <w:tcPr>
            <w:tcW w:w="1368" w:type="dxa"/>
            <w:tcBorders>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11</w:t>
            </w:r>
          </w:p>
        </w:tc>
        <w:tc>
          <w:tcPr>
            <w:tcW w:w="2252" w:type="dxa"/>
            <w:tcBorders>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1890" w:type="dxa"/>
            <w:gridSpan w:val="2"/>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专业基础课</w:t>
            </w:r>
          </w:p>
        </w:tc>
        <w:tc>
          <w:tcPr>
            <w:tcW w:w="1623" w:type="dxa"/>
            <w:tcBorders>
              <w:bottom w:val="single" w:color="000000"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必修</w:t>
            </w:r>
          </w:p>
        </w:tc>
        <w:tc>
          <w:tcPr>
            <w:tcW w:w="1440" w:type="dxa"/>
            <w:tcBorders>
              <w:left w:val="single" w:color="000000" w:sz="4" w:space="0"/>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192</w:t>
            </w:r>
          </w:p>
        </w:tc>
        <w:tc>
          <w:tcPr>
            <w:tcW w:w="1368" w:type="dxa"/>
            <w:tcBorders>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11.5</w:t>
            </w:r>
          </w:p>
        </w:tc>
        <w:tc>
          <w:tcPr>
            <w:tcW w:w="2252" w:type="dxa"/>
            <w:tcBorders>
              <w:bottom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1890" w:type="dxa"/>
            <w:gridSpan w:val="2"/>
            <w:tcBorders>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专业课</w:t>
            </w:r>
          </w:p>
        </w:tc>
        <w:tc>
          <w:tcPr>
            <w:tcW w:w="1623" w:type="dxa"/>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必修</w:t>
            </w:r>
          </w:p>
        </w:tc>
        <w:tc>
          <w:tcPr>
            <w:tcW w:w="1440"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560</w:t>
            </w:r>
          </w:p>
        </w:tc>
        <w:tc>
          <w:tcPr>
            <w:tcW w:w="1368"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34</w:t>
            </w:r>
          </w:p>
        </w:tc>
        <w:tc>
          <w:tcPr>
            <w:tcW w:w="2252"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1890" w:type="dxa"/>
            <w:gridSpan w:val="2"/>
            <w:tcBorders>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专业拓展课</w:t>
            </w:r>
          </w:p>
        </w:tc>
        <w:tc>
          <w:tcPr>
            <w:tcW w:w="1623" w:type="dxa"/>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选修</w:t>
            </w:r>
          </w:p>
        </w:tc>
        <w:tc>
          <w:tcPr>
            <w:tcW w:w="1440"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304</w:t>
            </w:r>
          </w:p>
        </w:tc>
        <w:tc>
          <w:tcPr>
            <w:tcW w:w="1368"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17</w:t>
            </w:r>
          </w:p>
        </w:tc>
        <w:tc>
          <w:tcPr>
            <w:tcW w:w="2252" w:type="dxa"/>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合计</w:t>
            </w:r>
          </w:p>
        </w:tc>
        <w:tc>
          <w:tcPr>
            <w:tcW w:w="1440"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1910</w:t>
            </w:r>
          </w:p>
        </w:tc>
        <w:tc>
          <w:tcPr>
            <w:tcW w:w="1368" w:type="dxa"/>
            <w:tcBorders>
              <w:righ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118.5</w:t>
            </w:r>
          </w:p>
        </w:tc>
        <w:tc>
          <w:tcPr>
            <w:tcW w:w="2252"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选修课占总学分比例</w:t>
            </w:r>
          </w:p>
        </w:tc>
        <w:tc>
          <w:tcPr>
            <w:tcW w:w="5060" w:type="dxa"/>
            <w:gridSpan w:val="3"/>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29.54%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实践学时占总学时比例</w:t>
            </w:r>
          </w:p>
        </w:tc>
        <w:tc>
          <w:tcPr>
            <w:tcW w:w="5060" w:type="dxa"/>
            <w:gridSpan w:val="3"/>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49.42%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restart"/>
            <w:tcBorders>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大三</w:t>
            </w:r>
          </w:p>
        </w:tc>
        <w:tc>
          <w:tcPr>
            <w:tcW w:w="1800" w:type="dxa"/>
            <w:vMerge w:val="restart"/>
            <w:tcBorders>
              <w:left w:val="single" w:color="auto" w:sz="4" w:space="0"/>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专业课</w:t>
            </w:r>
          </w:p>
        </w:tc>
        <w:tc>
          <w:tcPr>
            <w:tcW w:w="1713" w:type="dxa"/>
            <w:gridSpan w:val="2"/>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必修</w:t>
            </w:r>
          </w:p>
        </w:tc>
        <w:tc>
          <w:tcPr>
            <w:tcW w:w="1440"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744</w:t>
            </w:r>
          </w:p>
        </w:tc>
        <w:tc>
          <w:tcPr>
            <w:tcW w:w="1368"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38</w:t>
            </w:r>
          </w:p>
        </w:tc>
        <w:tc>
          <w:tcPr>
            <w:tcW w:w="2252" w:type="dxa"/>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1800" w:type="dxa"/>
            <w:vMerge w:val="continue"/>
            <w:tcBorders>
              <w:left w:val="single" w:color="auto" w:sz="4" w:space="0"/>
              <w:right w:val="single" w:color="auto" w:sz="4" w:space="0"/>
            </w:tcBorders>
            <w:vAlign w:val="center"/>
          </w:tcPr>
          <w:p>
            <w:pPr>
              <w:spacing w:line="0" w:lineRule="atLeast"/>
              <w:jc w:val="center"/>
              <w:rPr>
                <w:rFonts w:ascii="宋体" w:hAnsi="宋体" w:cs="宋体"/>
                <w:color w:val="auto"/>
                <w:szCs w:val="21"/>
              </w:rPr>
            </w:pPr>
          </w:p>
        </w:tc>
        <w:tc>
          <w:tcPr>
            <w:tcW w:w="1713" w:type="dxa"/>
            <w:gridSpan w:val="2"/>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选修</w:t>
            </w:r>
          </w:p>
        </w:tc>
        <w:tc>
          <w:tcPr>
            <w:tcW w:w="1440" w:type="dxa"/>
            <w:tcBorders>
              <w:left w:val="single" w:color="000000" w:sz="4" w:space="0"/>
            </w:tcBorders>
            <w:vAlign w:val="center"/>
          </w:tcPr>
          <w:p>
            <w:pPr>
              <w:jc w:val="center"/>
              <w:rPr>
                <w:rFonts w:ascii="宋体" w:hAnsi="宋体" w:cs="宋体"/>
                <w:color w:val="auto"/>
                <w:szCs w:val="21"/>
              </w:rPr>
            </w:pPr>
          </w:p>
        </w:tc>
        <w:tc>
          <w:tcPr>
            <w:tcW w:w="1368" w:type="dxa"/>
            <w:tcBorders>
              <w:left w:val="single" w:color="000000" w:sz="4" w:space="0"/>
            </w:tcBorders>
            <w:vAlign w:val="center"/>
          </w:tcPr>
          <w:p>
            <w:pPr>
              <w:jc w:val="center"/>
              <w:rPr>
                <w:rFonts w:ascii="宋体" w:hAnsi="宋体" w:cs="宋体"/>
                <w:color w:val="auto"/>
                <w:szCs w:val="21"/>
              </w:rPr>
            </w:pPr>
          </w:p>
        </w:tc>
        <w:tc>
          <w:tcPr>
            <w:tcW w:w="2252" w:type="dxa"/>
            <w:tcBorders>
              <w:left w:val="single" w:color="000000" w:sz="4" w:space="0"/>
            </w:tcBorders>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restart"/>
            <w:tcBorders>
              <w:right w:val="single" w:color="auto"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总计</w:t>
            </w: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olor w:val="auto"/>
                <w:szCs w:val="21"/>
              </w:rPr>
              <w:t>公共</w:t>
            </w:r>
            <w:r>
              <w:rPr>
                <w:rFonts w:ascii="宋体" w:hAnsi="宋体"/>
                <w:color w:val="auto"/>
                <w:szCs w:val="21"/>
              </w:rPr>
              <w:t>基础</w:t>
            </w:r>
            <w:r>
              <w:rPr>
                <w:rFonts w:hint="eastAsia" w:ascii="宋体" w:hAnsi="宋体"/>
                <w:color w:val="auto"/>
                <w:szCs w:val="21"/>
              </w:rPr>
              <w:t>课占</w:t>
            </w:r>
            <w:r>
              <w:rPr>
                <w:rFonts w:ascii="宋体" w:hAnsi="宋体"/>
                <w:color w:val="auto"/>
                <w:szCs w:val="21"/>
              </w:rPr>
              <w:t>总学时</w:t>
            </w:r>
            <w:r>
              <w:rPr>
                <w:rFonts w:hint="eastAsia" w:ascii="宋体" w:hAnsi="宋体"/>
                <w:color w:val="auto"/>
                <w:szCs w:val="21"/>
              </w:rPr>
              <w:t>比例</w:t>
            </w:r>
          </w:p>
        </w:tc>
        <w:tc>
          <w:tcPr>
            <w:tcW w:w="5060" w:type="dxa"/>
            <w:gridSpan w:val="3"/>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选修课占总学分比例</w:t>
            </w:r>
          </w:p>
        </w:tc>
        <w:tc>
          <w:tcPr>
            <w:tcW w:w="5060" w:type="dxa"/>
            <w:gridSpan w:val="3"/>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795" w:type="dxa"/>
            <w:vMerge w:val="continue"/>
            <w:tcBorders>
              <w:right w:val="single" w:color="auto" w:sz="4" w:space="0"/>
            </w:tcBorders>
            <w:vAlign w:val="center"/>
          </w:tcPr>
          <w:p>
            <w:pPr>
              <w:spacing w:line="0" w:lineRule="atLeast"/>
              <w:jc w:val="center"/>
              <w:rPr>
                <w:rFonts w:ascii="宋体" w:hAnsi="宋体" w:cs="宋体"/>
                <w:color w:val="auto"/>
                <w:szCs w:val="21"/>
              </w:rPr>
            </w:pPr>
          </w:p>
        </w:tc>
        <w:tc>
          <w:tcPr>
            <w:tcW w:w="3513" w:type="dxa"/>
            <w:gridSpan w:val="3"/>
            <w:tcBorders>
              <w:left w:val="single" w:color="auto" w:sz="4" w:space="0"/>
              <w:right w:val="single" w:color="000000" w:sz="4" w:space="0"/>
            </w:tcBorders>
            <w:vAlign w:val="center"/>
          </w:tcPr>
          <w:p>
            <w:pPr>
              <w:spacing w:line="0" w:lineRule="atLeast"/>
              <w:jc w:val="center"/>
              <w:rPr>
                <w:rFonts w:ascii="宋体" w:hAnsi="宋体" w:cs="宋体"/>
                <w:color w:val="auto"/>
                <w:szCs w:val="21"/>
              </w:rPr>
            </w:pPr>
            <w:r>
              <w:rPr>
                <w:rFonts w:hint="eastAsia" w:ascii="宋体" w:hAnsi="宋体" w:cs="宋体"/>
                <w:color w:val="auto"/>
                <w:szCs w:val="21"/>
              </w:rPr>
              <w:t>实践学时占总学时比例</w:t>
            </w:r>
          </w:p>
        </w:tc>
        <w:tc>
          <w:tcPr>
            <w:tcW w:w="5060" w:type="dxa"/>
            <w:gridSpan w:val="3"/>
            <w:tcBorders>
              <w:left w:val="single" w:color="000000" w:sz="4" w:space="0"/>
            </w:tcBorders>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1"/>
                <w:szCs w:val="21"/>
                <w:u w:val="none"/>
                <w:lang w:val="en-US" w:eastAsia="zh-CN" w:bidi="ar"/>
              </w:rPr>
              <w:t>61.19%</w:t>
            </w:r>
          </w:p>
        </w:tc>
      </w:tr>
    </w:tbl>
    <w:p>
      <w:pPr>
        <w:pStyle w:val="7"/>
        <w:adjustRightInd w:val="0"/>
        <w:snapToGrid w:val="0"/>
        <w:spacing w:before="0" w:beforeAutospacing="0" w:after="0" w:afterAutospacing="0" w:line="500" w:lineRule="exact"/>
        <w:ind w:firstLine="560" w:firstLineChars="200"/>
        <w:jc w:val="both"/>
        <w:outlineLvl w:val="1"/>
        <w:rPr>
          <w:rFonts w:ascii="黑体" w:eastAsia="黑体"/>
          <w:color w:val="auto"/>
          <w:kern w:val="2"/>
          <w:sz w:val="28"/>
          <w:szCs w:val="28"/>
        </w:rPr>
      </w:pPr>
      <w:r>
        <w:rPr>
          <w:rFonts w:hint="eastAsia" w:ascii="黑体" w:eastAsia="黑体"/>
          <w:color w:val="auto"/>
          <w:kern w:val="2"/>
          <w:sz w:val="28"/>
          <w:szCs w:val="28"/>
        </w:rPr>
        <w:t>十、实施保障</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1</w:t>
      </w:r>
      <w:r>
        <w:rPr>
          <w:color w:val="auto"/>
          <w:kern w:val="2"/>
        </w:rPr>
        <w:t>.师资队伍</w:t>
      </w:r>
    </w:p>
    <w:p>
      <w:pPr>
        <w:pStyle w:val="7"/>
        <w:adjustRightInd w:val="0"/>
        <w:snapToGrid w:val="0"/>
        <w:spacing w:before="0" w:beforeAutospacing="0" w:after="0" w:afterAutospacing="0" w:line="500" w:lineRule="exact"/>
        <w:ind w:firstLine="480" w:firstLineChars="200"/>
        <w:jc w:val="both"/>
        <w:rPr>
          <w:rFonts w:cs="宋体"/>
          <w:color w:val="auto"/>
        </w:rPr>
      </w:pPr>
      <w:r>
        <w:rPr>
          <w:rFonts w:hint="eastAsia"/>
          <w:color w:val="auto"/>
          <w:kern w:val="2"/>
          <w:szCs w:val="22"/>
        </w:rPr>
        <w:t>本专业与建筑经济信息化管理、大数据与会计专业构建经济管理类专业群，依靠专业群的集群优势，</w:t>
      </w:r>
      <w:r>
        <w:rPr>
          <w:rFonts w:cs="宋体"/>
          <w:color w:val="auto"/>
        </w:rPr>
        <w:t>有一支思想素质高、学术水平高、教学经验丰富、实务经验丰富的师资队伍</w:t>
      </w:r>
      <w:r>
        <w:rPr>
          <w:rFonts w:hint="eastAsia" w:cs="宋体"/>
          <w:color w:val="auto"/>
        </w:rPr>
        <w:t>，</w:t>
      </w:r>
      <w:r>
        <w:rPr>
          <w:rFonts w:hint="eastAsia"/>
          <w:color w:val="auto"/>
          <w:kern w:val="2"/>
          <w:szCs w:val="22"/>
        </w:rPr>
        <w:t>能积极发挥群团队专业特长。</w:t>
      </w:r>
      <w:r>
        <w:rPr>
          <w:color w:val="auto"/>
          <w:kern w:val="2"/>
          <w:szCs w:val="22"/>
        </w:rPr>
        <w:t>目前</w:t>
      </w:r>
      <w:r>
        <w:rPr>
          <w:rFonts w:hint="eastAsia"/>
          <w:color w:val="auto"/>
          <w:kern w:val="2"/>
        </w:rPr>
        <w:t>校内专任教师</w:t>
      </w:r>
      <w:r>
        <w:rPr>
          <w:rFonts w:cs="宋体"/>
          <w:color w:val="auto"/>
        </w:rPr>
        <w:t>年龄结构</w:t>
      </w:r>
      <w:r>
        <w:rPr>
          <w:rFonts w:hint="eastAsia" w:cs="宋体"/>
          <w:color w:val="auto"/>
        </w:rPr>
        <w:t>、学历结构、知识结构</w:t>
      </w:r>
      <w:r>
        <w:rPr>
          <w:rFonts w:cs="宋体"/>
          <w:color w:val="auto"/>
        </w:rPr>
        <w:t>及职称结构合理</w:t>
      </w:r>
      <w:r>
        <w:rPr>
          <w:rFonts w:hint="eastAsia" w:cs="宋体"/>
          <w:color w:val="auto"/>
        </w:rPr>
        <w:t>。</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s="宋体"/>
          <w:color w:val="auto"/>
        </w:rPr>
        <w:t>专</w:t>
      </w:r>
      <w:r>
        <w:rPr>
          <w:rFonts w:cs="宋体"/>
          <w:color w:val="auto"/>
        </w:rPr>
        <w:t>职教师近三年主持局级</w:t>
      </w:r>
      <w:r>
        <w:rPr>
          <w:rFonts w:hint="eastAsia" w:cs="宋体"/>
          <w:color w:val="auto"/>
        </w:rPr>
        <w:t>以上</w:t>
      </w:r>
      <w:r>
        <w:rPr>
          <w:rFonts w:cs="宋体"/>
          <w:color w:val="auto"/>
        </w:rPr>
        <w:t>课题</w:t>
      </w:r>
      <w:r>
        <w:rPr>
          <w:rFonts w:hint="eastAsia" w:cs="宋体"/>
          <w:color w:val="auto"/>
          <w:lang w:val="en-US" w:eastAsia="zh-CN"/>
        </w:rPr>
        <w:t>20余</w:t>
      </w:r>
      <w:r>
        <w:rPr>
          <w:rFonts w:cs="宋体"/>
          <w:color w:val="auto"/>
        </w:rPr>
        <w:t>项、企业横向课题</w:t>
      </w:r>
      <w:r>
        <w:rPr>
          <w:rFonts w:hint="eastAsia" w:cs="宋体"/>
          <w:color w:val="auto"/>
          <w:lang w:val="en-US" w:eastAsia="zh-CN"/>
        </w:rPr>
        <w:t>17</w:t>
      </w:r>
      <w:r>
        <w:rPr>
          <w:rFonts w:cs="宋体"/>
          <w:color w:val="auto"/>
        </w:rPr>
        <w:t>项；专职教师近三年在省级及以上专业教学比赛获得</w:t>
      </w:r>
      <w:r>
        <w:rPr>
          <w:rFonts w:hint="eastAsia" w:cs="宋体"/>
          <w:color w:val="auto"/>
          <w:lang w:val="en-US" w:eastAsia="zh-CN"/>
        </w:rPr>
        <w:t>20余项</w:t>
      </w:r>
      <w:r>
        <w:rPr>
          <w:rFonts w:cs="宋体"/>
          <w:color w:val="auto"/>
        </w:rPr>
        <w:t>，指导学生参加省</w:t>
      </w:r>
      <w:r>
        <w:rPr>
          <w:rFonts w:hint="eastAsia" w:cs="宋体"/>
          <w:color w:val="auto"/>
          <w:lang w:val="en-US" w:eastAsia="zh-CN"/>
        </w:rPr>
        <w:t>级以上竞赛获奖</w:t>
      </w:r>
      <w:r>
        <w:rPr>
          <w:rFonts w:cs="宋体"/>
          <w:color w:val="auto"/>
        </w:rPr>
        <w:t>20余次。</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专业</w:t>
      </w:r>
      <w:r>
        <w:rPr>
          <w:color w:val="auto"/>
          <w:kern w:val="2"/>
        </w:rPr>
        <w:t>负责人</w:t>
      </w:r>
      <w:r>
        <w:rPr>
          <w:rFonts w:hint="eastAsia"/>
          <w:color w:val="auto"/>
          <w:kern w:val="2"/>
        </w:rPr>
        <w:t>为</w:t>
      </w:r>
      <w:r>
        <w:rPr>
          <w:color w:val="auto"/>
          <w:kern w:val="2"/>
        </w:rPr>
        <w:t>副教授职称，</w:t>
      </w:r>
      <w:r>
        <w:rPr>
          <w:rFonts w:hint="eastAsia"/>
          <w:color w:val="auto"/>
          <w:kern w:val="2"/>
        </w:rPr>
        <w:t>有7年</w:t>
      </w:r>
      <w:r>
        <w:rPr>
          <w:color w:val="auto"/>
          <w:kern w:val="2"/>
        </w:rPr>
        <w:t>以上企业实践经验，</w:t>
      </w:r>
      <w:r>
        <w:rPr>
          <w:rFonts w:hint="eastAsia"/>
          <w:color w:val="auto"/>
          <w:kern w:val="2"/>
        </w:rPr>
        <w:t>能</w:t>
      </w:r>
      <w:r>
        <w:rPr>
          <w:color w:val="auto"/>
          <w:kern w:val="2"/>
        </w:rPr>
        <w:t>较好地把握行业、专业发展，能</w:t>
      </w:r>
      <w:r>
        <w:rPr>
          <w:rFonts w:hint="eastAsia"/>
          <w:color w:val="auto"/>
          <w:kern w:val="2"/>
        </w:rPr>
        <w:t>广泛</w:t>
      </w:r>
      <w:r>
        <w:rPr>
          <w:color w:val="auto"/>
          <w:kern w:val="2"/>
        </w:rPr>
        <w:t>联系行业企业，了解行业企业对本专业人才的</w:t>
      </w:r>
      <w:r>
        <w:rPr>
          <w:rFonts w:hint="eastAsia"/>
          <w:color w:val="auto"/>
          <w:kern w:val="2"/>
        </w:rPr>
        <w:t>需求</w:t>
      </w:r>
      <w:r>
        <w:rPr>
          <w:color w:val="auto"/>
          <w:kern w:val="2"/>
        </w:rPr>
        <w:t>，教学设计、专业研究能力强，</w:t>
      </w:r>
      <w:r>
        <w:rPr>
          <w:rFonts w:hint="eastAsia"/>
          <w:color w:val="auto"/>
          <w:kern w:val="2"/>
        </w:rPr>
        <w:t>能</w:t>
      </w:r>
      <w:r>
        <w:rPr>
          <w:color w:val="auto"/>
          <w:kern w:val="2"/>
        </w:rPr>
        <w:t>全面</w:t>
      </w:r>
      <w:r>
        <w:rPr>
          <w:rFonts w:hint="eastAsia"/>
          <w:color w:val="auto"/>
          <w:kern w:val="2"/>
        </w:rPr>
        <w:t>主持</w:t>
      </w:r>
      <w:r>
        <w:rPr>
          <w:color w:val="auto"/>
          <w:kern w:val="2"/>
        </w:rPr>
        <w:t>专业建设，在当地有一定的专业影响力。</w:t>
      </w:r>
    </w:p>
    <w:p>
      <w:pPr>
        <w:pStyle w:val="7"/>
        <w:adjustRightInd w:val="0"/>
        <w:snapToGrid w:val="0"/>
        <w:spacing w:before="0" w:beforeAutospacing="0" w:after="0" w:afterAutospacing="0" w:line="500" w:lineRule="exact"/>
        <w:ind w:firstLine="480" w:firstLineChars="200"/>
        <w:jc w:val="both"/>
        <w:rPr>
          <w:rFonts w:cs="宋体"/>
          <w:color w:val="auto"/>
        </w:rPr>
      </w:pPr>
      <w:r>
        <w:rPr>
          <w:rFonts w:hint="eastAsia"/>
          <w:color w:val="auto"/>
          <w:kern w:val="2"/>
        </w:rPr>
        <w:t>聘请知名企业校外兼职教师7人，每位兼职教师均持有高级职称证书，能承担专业讲座、实训实习指导、课堂教学等教学任务。专兼师资团队</w:t>
      </w:r>
      <w:r>
        <w:rPr>
          <w:rFonts w:cs="宋体"/>
          <w:color w:val="auto"/>
        </w:rPr>
        <w:t>满足</w:t>
      </w:r>
      <w:r>
        <w:rPr>
          <w:rFonts w:hint="eastAsia" w:cs="宋体"/>
          <w:color w:val="auto"/>
        </w:rPr>
        <w:t>大数据与财务管理</w:t>
      </w:r>
      <w:r>
        <w:rPr>
          <w:rFonts w:cs="宋体"/>
          <w:color w:val="auto"/>
        </w:rPr>
        <w:t>专业教学要求。</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2</w:t>
      </w:r>
      <w:r>
        <w:rPr>
          <w:color w:val="auto"/>
          <w:kern w:val="2"/>
        </w:rPr>
        <w:t>.教学设施</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专业</w:t>
      </w:r>
      <w:r>
        <w:rPr>
          <w:color w:val="auto"/>
          <w:kern w:val="2"/>
        </w:rPr>
        <w:t>课程在多媒体教室</w:t>
      </w:r>
      <w:r>
        <w:rPr>
          <w:rFonts w:hint="eastAsia"/>
          <w:color w:val="auto"/>
          <w:kern w:val="2"/>
        </w:rPr>
        <w:t>开展一体化</w:t>
      </w:r>
      <w:r>
        <w:rPr>
          <w:color w:val="auto"/>
          <w:kern w:val="2"/>
        </w:rPr>
        <w:t>教学</w:t>
      </w:r>
      <w:r>
        <w:rPr>
          <w:rFonts w:hint="eastAsia"/>
          <w:color w:val="auto"/>
          <w:kern w:val="2"/>
        </w:rPr>
        <w:t>或</w:t>
      </w:r>
      <w:r>
        <w:rPr>
          <w:color w:val="auto"/>
          <w:kern w:val="2"/>
        </w:rPr>
        <w:t>线上线下混合式教学，</w:t>
      </w:r>
      <w:r>
        <w:rPr>
          <w:rFonts w:hint="eastAsia"/>
          <w:color w:val="auto"/>
          <w:kern w:val="2"/>
        </w:rPr>
        <w:t>教室</w:t>
      </w:r>
      <w:r>
        <w:rPr>
          <w:color w:val="auto"/>
          <w:kern w:val="2"/>
        </w:rPr>
        <w:t>配备黑板、多媒体</w:t>
      </w:r>
      <w:r>
        <w:rPr>
          <w:rFonts w:hint="eastAsia"/>
          <w:color w:val="auto"/>
          <w:kern w:val="2"/>
        </w:rPr>
        <w:t>设备</w:t>
      </w:r>
      <w:r>
        <w:rPr>
          <w:color w:val="auto"/>
          <w:kern w:val="2"/>
        </w:rPr>
        <w:t>一体机</w:t>
      </w:r>
      <w:r>
        <w:rPr>
          <w:rFonts w:hint="eastAsia"/>
          <w:color w:val="auto"/>
          <w:kern w:val="2"/>
        </w:rPr>
        <w:t>，接通</w:t>
      </w:r>
      <w:r>
        <w:rPr>
          <w:color w:val="auto"/>
          <w:kern w:val="2"/>
        </w:rPr>
        <w:t>网络和</w:t>
      </w:r>
      <w:r>
        <w:rPr>
          <w:rFonts w:hint="eastAsia"/>
          <w:color w:val="auto"/>
          <w:kern w:val="2"/>
        </w:rPr>
        <w:t>无线W</w:t>
      </w:r>
      <w:r>
        <w:rPr>
          <w:color w:val="auto"/>
          <w:kern w:val="2"/>
        </w:rPr>
        <w:t>i-Fi</w:t>
      </w:r>
      <w:r>
        <w:rPr>
          <w:rFonts w:hint="eastAsia"/>
          <w:color w:val="auto"/>
          <w:kern w:val="2"/>
        </w:rPr>
        <w:t>，</w:t>
      </w:r>
      <w:r>
        <w:rPr>
          <w:color w:val="auto"/>
          <w:kern w:val="2"/>
        </w:rPr>
        <w:t>并实施网络安全防护措施</w:t>
      </w:r>
      <w:r>
        <w:rPr>
          <w:rFonts w:hint="eastAsia"/>
          <w:color w:val="auto"/>
          <w:kern w:val="2"/>
        </w:rPr>
        <w:t>；按照</w:t>
      </w:r>
      <w:r>
        <w:rPr>
          <w:color w:val="auto"/>
          <w:kern w:val="2"/>
        </w:rPr>
        <w:t>应急照明装置并保持良好状态，符号紧急疏散要求，标志明显，保持逃生通道畅通无阻。</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专业实训</w:t>
      </w:r>
      <w:r>
        <w:rPr>
          <w:color w:val="auto"/>
          <w:kern w:val="2"/>
        </w:rPr>
        <w:t>课程主要在校内实训基地开展，</w:t>
      </w:r>
      <w:r>
        <w:rPr>
          <w:rFonts w:hint="eastAsia"/>
          <w:color w:val="auto"/>
          <w:kern w:val="2"/>
        </w:rPr>
        <w:t>校外</w:t>
      </w:r>
      <w:r>
        <w:rPr>
          <w:color w:val="auto"/>
          <w:kern w:val="2"/>
        </w:rPr>
        <w:t>实训基地辅助。</w:t>
      </w:r>
      <w:r>
        <w:rPr>
          <w:rFonts w:hint="eastAsia"/>
          <w:color w:val="auto"/>
          <w:kern w:val="2"/>
        </w:rPr>
        <w:t>专业拥有</w:t>
      </w:r>
      <w:r>
        <w:rPr>
          <w:rFonts w:cs="宋体"/>
          <w:color w:val="auto"/>
        </w:rPr>
        <w:t>财务共享实训室</w:t>
      </w:r>
      <w:r>
        <w:rPr>
          <w:rFonts w:hint="eastAsia" w:cs="宋体"/>
          <w:color w:val="auto"/>
        </w:rPr>
        <w:t>、</w:t>
      </w:r>
      <w:r>
        <w:rPr>
          <w:rFonts w:cs="宋体"/>
          <w:color w:val="auto"/>
        </w:rPr>
        <w:t>财务多功能实训室</w:t>
      </w:r>
      <w:r>
        <w:rPr>
          <w:rFonts w:hint="eastAsia" w:cs="宋体"/>
          <w:color w:val="auto"/>
        </w:rPr>
        <w:t>、</w:t>
      </w:r>
      <w:r>
        <w:rPr>
          <w:rFonts w:cs="宋体"/>
          <w:color w:val="auto"/>
        </w:rPr>
        <w:t>互联网金融实训室</w:t>
      </w:r>
      <w:r>
        <w:rPr>
          <w:rFonts w:hint="eastAsia" w:cs="宋体"/>
          <w:color w:val="auto"/>
        </w:rPr>
        <w:t>、</w:t>
      </w:r>
      <w:r>
        <w:rPr>
          <w:rFonts w:cs="宋体"/>
          <w:color w:val="auto"/>
        </w:rPr>
        <w:t>智能财务实训室</w:t>
      </w:r>
      <w:r>
        <w:rPr>
          <w:rFonts w:hint="eastAsia" w:cs="宋体"/>
          <w:color w:val="auto"/>
        </w:rPr>
        <w:t>、</w:t>
      </w:r>
      <w:r>
        <w:rPr>
          <w:rFonts w:cs="宋体"/>
          <w:color w:val="auto"/>
        </w:rPr>
        <w:t>业税财协同创新中心</w:t>
      </w:r>
      <w:r>
        <w:rPr>
          <w:rFonts w:hint="eastAsia" w:cs="宋体"/>
          <w:color w:val="auto"/>
        </w:rPr>
        <w:t>等专业</w:t>
      </w:r>
      <w:r>
        <w:rPr>
          <w:rFonts w:cs="宋体"/>
          <w:color w:val="auto"/>
        </w:rPr>
        <w:t>实训室</w:t>
      </w:r>
      <w:r>
        <w:rPr>
          <w:color w:val="auto"/>
          <w:kern w:val="2"/>
        </w:rPr>
        <w:t>和</w:t>
      </w:r>
      <w:r>
        <w:rPr>
          <w:rFonts w:hint="eastAsia"/>
          <w:color w:val="auto"/>
          <w:kern w:val="2"/>
          <w:lang w:val="en-US" w:eastAsia="zh-CN"/>
        </w:rPr>
        <w:t>多</w:t>
      </w:r>
      <w:r>
        <w:rPr>
          <w:rFonts w:hint="eastAsia"/>
          <w:color w:val="auto"/>
          <w:kern w:val="2"/>
        </w:rPr>
        <w:t>个</w:t>
      </w:r>
      <w:r>
        <w:rPr>
          <w:color w:val="auto"/>
          <w:kern w:val="2"/>
        </w:rPr>
        <w:t>共享实训室</w:t>
      </w:r>
      <w:r>
        <w:rPr>
          <w:rFonts w:hint="eastAsia"/>
          <w:color w:val="auto"/>
          <w:kern w:val="2"/>
        </w:rPr>
        <w:t>。各实训室</w:t>
      </w:r>
      <w:r>
        <w:rPr>
          <w:color w:val="auto"/>
          <w:kern w:val="2"/>
        </w:rPr>
        <w:t>配备黑板、多媒体</w:t>
      </w:r>
      <w:r>
        <w:rPr>
          <w:rFonts w:hint="eastAsia"/>
          <w:color w:val="auto"/>
          <w:kern w:val="2"/>
        </w:rPr>
        <w:t>设备</w:t>
      </w:r>
      <w:r>
        <w:rPr>
          <w:color w:val="auto"/>
          <w:kern w:val="2"/>
        </w:rPr>
        <w:t>一体机</w:t>
      </w:r>
      <w:r>
        <w:rPr>
          <w:rFonts w:hint="eastAsia"/>
          <w:color w:val="auto"/>
          <w:kern w:val="2"/>
        </w:rPr>
        <w:t>，接通</w:t>
      </w:r>
      <w:r>
        <w:rPr>
          <w:color w:val="auto"/>
          <w:kern w:val="2"/>
        </w:rPr>
        <w:t>网络和</w:t>
      </w:r>
      <w:r>
        <w:rPr>
          <w:rFonts w:hint="eastAsia"/>
          <w:color w:val="auto"/>
          <w:kern w:val="2"/>
        </w:rPr>
        <w:t>无线W</w:t>
      </w:r>
      <w:r>
        <w:rPr>
          <w:color w:val="auto"/>
          <w:kern w:val="2"/>
        </w:rPr>
        <w:t>i-Fi</w:t>
      </w:r>
      <w:r>
        <w:rPr>
          <w:rFonts w:hint="eastAsia"/>
          <w:color w:val="auto"/>
          <w:kern w:val="2"/>
        </w:rPr>
        <w:t>，</w:t>
      </w:r>
      <w:r>
        <w:rPr>
          <w:color w:val="auto"/>
          <w:kern w:val="2"/>
        </w:rPr>
        <w:t>同时</w:t>
      </w:r>
      <w:r>
        <w:rPr>
          <w:rFonts w:hint="eastAsia"/>
          <w:color w:val="auto"/>
          <w:kern w:val="2"/>
        </w:rPr>
        <w:t>配备与专业课程教学实训相关的10多种专业教学软件。实训</w:t>
      </w:r>
      <w:r>
        <w:rPr>
          <w:color w:val="auto"/>
          <w:kern w:val="2"/>
        </w:rPr>
        <w:t>教学软件、教学平台、教学设备</w:t>
      </w:r>
      <w:r>
        <w:rPr>
          <w:rFonts w:hint="eastAsia"/>
          <w:color w:val="auto"/>
          <w:kern w:val="2"/>
        </w:rPr>
        <w:t>满足专业</w:t>
      </w:r>
      <w:r>
        <w:rPr>
          <w:color w:val="auto"/>
          <w:kern w:val="2"/>
        </w:rPr>
        <w:t>各实训课程教学，</w:t>
      </w:r>
      <w:r>
        <w:rPr>
          <w:rFonts w:hint="eastAsia"/>
          <w:color w:val="auto"/>
          <w:kern w:val="2"/>
        </w:rPr>
        <w:t>实训</w:t>
      </w:r>
      <w:r>
        <w:rPr>
          <w:color w:val="auto"/>
          <w:kern w:val="2"/>
        </w:rPr>
        <w:t>管理和规章制度齐全。</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假期社会实践和专业实习</w:t>
      </w:r>
      <w:r>
        <w:rPr>
          <w:color w:val="auto"/>
          <w:kern w:val="2"/>
        </w:rPr>
        <w:t>课程主要在校</w:t>
      </w:r>
      <w:r>
        <w:rPr>
          <w:rFonts w:hint="eastAsia"/>
          <w:color w:val="auto"/>
          <w:kern w:val="2"/>
        </w:rPr>
        <w:t>外</w:t>
      </w:r>
      <w:r>
        <w:rPr>
          <w:color w:val="auto"/>
          <w:kern w:val="2"/>
        </w:rPr>
        <w:t>实训基地开展，</w:t>
      </w:r>
      <w:r>
        <w:rPr>
          <w:rFonts w:hint="eastAsia"/>
          <w:color w:val="auto"/>
          <w:kern w:val="2"/>
        </w:rPr>
        <w:t>校内</w:t>
      </w:r>
      <w:r>
        <w:rPr>
          <w:color w:val="auto"/>
          <w:kern w:val="2"/>
        </w:rPr>
        <w:t>实训基地辅助。</w:t>
      </w:r>
      <w:r>
        <w:rPr>
          <w:rFonts w:hint="eastAsia"/>
          <w:color w:val="auto"/>
          <w:kern w:val="2"/>
        </w:rPr>
        <w:t>专业与广厦</w:t>
      </w:r>
      <w:r>
        <w:rPr>
          <w:color w:val="auto"/>
          <w:kern w:val="2"/>
        </w:rPr>
        <w:t>控股集团、</w:t>
      </w:r>
      <w:r>
        <w:rPr>
          <w:rFonts w:hint="eastAsia"/>
          <w:color w:val="auto"/>
          <w:kern w:val="2"/>
        </w:rPr>
        <w:t>东阳三建等行业龙头企业、知名企业建立紧密合作，开展“工学结合，校企合作”实践；与新中大科技股份有限公司签订校企合作战略协议，设立“新中大</w:t>
      </w:r>
      <w:r>
        <w:rPr>
          <w:rFonts w:hint="eastAsia"/>
          <w:color w:val="auto"/>
          <w:kern w:val="2"/>
          <w:lang w:val="en-US" w:eastAsia="zh-CN"/>
        </w:rPr>
        <w:t>学院</w:t>
      </w:r>
      <w:r>
        <w:rPr>
          <w:rFonts w:hint="eastAsia"/>
          <w:color w:val="auto"/>
          <w:kern w:val="2"/>
        </w:rPr>
        <w:t>”和“业税财协同</w:t>
      </w:r>
      <w:r>
        <w:rPr>
          <w:color w:val="auto"/>
          <w:kern w:val="2"/>
        </w:rPr>
        <w:t>创新中心</w:t>
      </w:r>
      <w:r>
        <w:rPr>
          <w:rFonts w:hint="eastAsia"/>
          <w:color w:val="auto"/>
          <w:kern w:val="2"/>
        </w:rPr>
        <w:t>”，协同育人。校外</w:t>
      </w:r>
      <w:r>
        <w:rPr>
          <w:color w:val="auto"/>
          <w:kern w:val="2"/>
        </w:rPr>
        <w:t>实训基地各单位能配备相应数量的指导老师对学生实习进行指导和管理，有保证实习生日常工作、学习、生活的规章制度，有安全、保险</w:t>
      </w:r>
      <w:r>
        <w:rPr>
          <w:rFonts w:hint="eastAsia"/>
          <w:color w:val="auto"/>
          <w:kern w:val="2"/>
        </w:rPr>
        <w:t>等</w:t>
      </w:r>
      <w:r>
        <w:rPr>
          <w:color w:val="auto"/>
          <w:kern w:val="2"/>
        </w:rPr>
        <w:t>保障。</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3</w:t>
      </w:r>
      <w:r>
        <w:rPr>
          <w:color w:val="auto"/>
          <w:kern w:val="2"/>
        </w:rPr>
        <w:t>.教学资源</w:t>
      </w:r>
    </w:p>
    <w:p>
      <w:pPr>
        <w:widowControl/>
        <w:spacing w:line="500" w:lineRule="exact"/>
        <w:ind w:firstLine="480" w:firstLineChars="200"/>
        <w:rPr>
          <w:color w:val="auto"/>
        </w:rPr>
      </w:pPr>
      <w:r>
        <w:rPr>
          <w:rFonts w:hint="eastAsia" w:ascii="宋体" w:hAnsi="宋体" w:cs="宋体"/>
          <w:color w:val="auto"/>
          <w:kern w:val="0"/>
          <w:sz w:val="24"/>
        </w:rPr>
        <w:t>专业平台课包括经济法</w:t>
      </w:r>
      <w:r>
        <w:rPr>
          <w:rFonts w:ascii="宋体" w:hAnsi="宋体" w:cs="宋体"/>
          <w:color w:val="auto"/>
          <w:kern w:val="0"/>
          <w:sz w:val="24"/>
        </w:rPr>
        <w:t>基础、</w:t>
      </w:r>
      <w:r>
        <w:rPr>
          <w:rFonts w:hint="eastAsia" w:ascii="宋体" w:hAnsi="宋体"/>
          <w:color w:val="auto"/>
          <w:sz w:val="24"/>
        </w:rPr>
        <w:t>财务会计、</w:t>
      </w:r>
      <w:r>
        <w:rPr>
          <w:rFonts w:ascii="宋体" w:hAnsi="宋体" w:cs="Arial"/>
          <w:color w:val="auto"/>
          <w:sz w:val="24"/>
        </w:rPr>
        <w:t>Excel</w:t>
      </w:r>
      <w:r>
        <w:rPr>
          <w:rFonts w:hint="eastAsia" w:ascii="Arial" w:hAnsi="Arial" w:cs="Arial"/>
          <w:color w:val="auto"/>
          <w:sz w:val="24"/>
        </w:rPr>
        <w:t>在财会中的应用等课程，由</w:t>
      </w:r>
      <w:r>
        <w:rPr>
          <w:rFonts w:hint="eastAsia" w:ascii="Arial" w:hAnsi="Arial" w:cs="Arial"/>
          <w:color w:val="auto"/>
          <w:sz w:val="24"/>
          <w:lang w:val="en-US" w:eastAsia="zh-CN"/>
        </w:rPr>
        <w:t>专业群</w:t>
      </w:r>
      <w:r>
        <w:rPr>
          <w:rFonts w:hint="eastAsia"/>
          <w:color w:val="auto"/>
          <w:sz w:val="24"/>
        </w:rPr>
        <w:t>相关老师任教，做到教学资源共建共享。</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教材优先选用</w:t>
      </w:r>
      <w:r>
        <w:rPr>
          <w:color w:val="auto"/>
          <w:kern w:val="2"/>
        </w:rPr>
        <w:t>十三五高职高专教材和国家资源库入选教材。</w:t>
      </w:r>
      <w:r>
        <w:rPr>
          <w:rFonts w:hint="eastAsia"/>
          <w:color w:val="auto"/>
          <w:kern w:val="2"/>
        </w:rPr>
        <w:t>专业</w:t>
      </w:r>
      <w:r>
        <w:rPr>
          <w:color w:val="auto"/>
          <w:kern w:val="2"/>
        </w:rPr>
        <w:t>相关教学</w:t>
      </w:r>
      <w:r>
        <w:rPr>
          <w:rFonts w:hint="eastAsia"/>
          <w:color w:val="auto"/>
          <w:kern w:val="2"/>
        </w:rPr>
        <w:t>图书</w:t>
      </w:r>
      <w:r>
        <w:rPr>
          <w:color w:val="auto"/>
          <w:kern w:val="2"/>
        </w:rPr>
        <w:t>文献</w:t>
      </w:r>
      <w:r>
        <w:rPr>
          <w:rFonts w:hint="eastAsia"/>
          <w:color w:val="auto"/>
          <w:kern w:val="2"/>
        </w:rPr>
        <w:t>1.6万册</w:t>
      </w:r>
      <w:r>
        <w:rPr>
          <w:color w:val="auto"/>
          <w:kern w:val="2"/>
        </w:rPr>
        <w:t>，</w:t>
      </w:r>
      <w:r>
        <w:rPr>
          <w:rFonts w:hint="eastAsia"/>
          <w:color w:val="auto"/>
          <w:kern w:val="2"/>
        </w:rPr>
        <w:t>能</w:t>
      </w:r>
      <w:r>
        <w:rPr>
          <w:color w:val="auto"/>
          <w:kern w:val="2"/>
        </w:rPr>
        <w:t>满足人才培养、专业建设、教学研究等</w:t>
      </w:r>
      <w:r>
        <w:rPr>
          <w:rFonts w:hint="eastAsia"/>
          <w:color w:val="auto"/>
          <w:kern w:val="2"/>
        </w:rPr>
        <w:t>工作</w:t>
      </w:r>
      <w:r>
        <w:rPr>
          <w:color w:val="auto"/>
          <w:kern w:val="2"/>
        </w:rPr>
        <w:t>的需要，方便师生查询、</w:t>
      </w:r>
      <w:r>
        <w:rPr>
          <w:rFonts w:hint="eastAsia"/>
          <w:color w:val="auto"/>
          <w:kern w:val="2"/>
        </w:rPr>
        <w:t>借阅</w:t>
      </w:r>
      <w:r>
        <w:rPr>
          <w:color w:val="auto"/>
          <w:kern w:val="2"/>
        </w:rPr>
        <w:t>。</w:t>
      </w:r>
      <w:r>
        <w:rPr>
          <w:rFonts w:hint="eastAsia"/>
          <w:color w:val="auto"/>
          <w:kern w:val="2"/>
        </w:rPr>
        <w:t>10</w:t>
      </w:r>
      <w:r>
        <w:rPr>
          <w:color w:val="auto"/>
          <w:kern w:val="2"/>
        </w:rPr>
        <w:t>多门</w:t>
      </w:r>
      <w:r>
        <w:rPr>
          <w:rFonts w:hint="eastAsia"/>
          <w:color w:val="auto"/>
          <w:kern w:val="2"/>
        </w:rPr>
        <w:t>课程</w:t>
      </w:r>
      <w:r>
        <w:rPr>
          <w:color w:val="auto"/>
          <w:kern w:val="2"/>
        </w:rPr>
        <w:t>建有数字教学资源</w:t>
      </w:r>
      <w:r>
        <w:rPr>
          <w:rFonts w:hint="eastAsia"/>
          <w:color w:val="auto"/>
          <w:kern w:val="2"/>
        </w:rPr>
        <w:t>库</w:t>
      </w:r>
      <w:r>
        <w:rPr>
          <w:color w:val="auto"/>
          <w:kern w:val="2"/>
        </w:rPr>
        <w:t>，</w:t>
      </w:r>
      <w:r>
        <w:rPr>
          <w:rFonts w:hint="eastAsia"/>
          <w:color w:val="auto"/>
          <w:kern w:val="2"/>
        </w:rPr>
        <w:t>种类</w:t>
      </w:r>
      <w:r>
        <w:rPr>
          <w:color w:val="auto"/>
          <w:kern w:val="2"/>
        </w:rPr>
        <w:t>丰富、</w:t>
      </w:r>
      <w:r>
        <w:rPr>
          <w:rFonts w:hint="eastAsia"/>
          <w:color w:val="auto"/>
          <w:kern w:val="2"/>
        </w:rPr>
        <w:t>形式</w:t>
      </w:r>
      <w:r>
        <w:rPr>
          <w:color w:val="auto"/>
          <w:kern w:val="2"/>
        </w:rPr>
        <w:t>多样，</w:t>
      </w:r>
      <w:r>
        <w:rPr>
          <w:rFonts w:hint="eastAsia"/>
          <w:color w:val="auto"/>
          <w:kern w:val="2"/>
        </w:rPr>
        <w:t>具体</w:t>
      </w:r>
      <w:r>
        <w:rPr>
          <w:color w:val="auto"/>
          <w:kern w:val="2"/>
        </w:rPr>
        <w:t>包括视频、教学课件、考试题库、数字教材等，</w:t>
      </w:r>
      <w:r>
        <w:rPr>
          <w:rFonts w:hint="eastAsia"/>
          <w:color w:val="auto"/>
          <w:kern w:val="2"/>
        </w:rPr>
        <w:t>利用</w:t>
      </w:r>
      <w:r>
        <w:rPr>
          <w:color w:val="auto"/>
          <w:kern w:val="2"/>
        </w:rPr>
        <w:t>云班课、学习通、省在线开放课程等平台</w:t>
      </w:r>
      <w:r>
        <w:rPr>
          <w:rFonts w:hint="eastAsia"/>
          <w:color w:val="auto"/>
          <w:kern w:val="2"/>
        </w:rPr>
        <w:t>，使用便捷</w:t>
      </w:r>
      <w:r>
        <w:rPr>
          <w:color w:val="auto"/>
          <w:kern w:val="2"/>
        </w:rPr>
        <w:t>、动态更新，能满足教学要求。</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4</w:t>
      </w:r>
      <w:r>
        <w:rPr>
          <w:color w:val="auto"/>
          <w:kern w:val="2"/>
        </w:rPr>
        <w:t>.教学方法</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一般专业课程采用任务驱动</w:t>
      </w:r>
      <w:r>
        <w:rPr>
          <w:color w:val="auto"/>
          <w:kern w:val="2"/>
        </w:rPr>
        <w:t>、</w:t>
      </w:r>
      <w:r>
        <w:rPr>
          <w:rFonts w:hint="eastAsia"/>
          <w:color w:val="auto"/>
          <w:kern w:val="2"/>
        </w:rPr>
        <w:t>案例教学、项目教学、角色模拟、情景模拟等</w:t>
      </w:r>
      <w:r>
        <w:rPr>
          <w:color w:val="auto"/>
          <w:kern w:val="2"/>
        </w:rPr>
        <w:t>教学方法。建有</w:t>
      </w:r>
      <w:r>
        <w:rPr>
          <w:rFonts w:hint="eastAsia"/>
          <w:color w:val="auto"/>
          <w:kern w:val="2"/>
        </w:rPr>
        <w:t>数字</w:t>
      </w:r>
      <w:r>
        <w:rPr>
          <w:color w:val="auto"/>
          <w:kern w:val="2"/>
        </w:rPr>
        <w:t>教学资源库的课程采用</w:t>
      </w:r>
      <w:r>
        <w:rPr>
          <w:rFonts w:hint="eastAsia"/>
          <w:color w:val="auto"/>
          <w:kern w:val="2"/>
        </w:rPr>
        <w:t>线上线下混合</w:t>
      </w:r>
      <w:r>
        <w:rPr>
          <w:color w:val="auto"/>
          <w:kern w:val="2"/>
        </w:rPr>
        <w:t>教学</w:t>
      </w:r>
      <w:r>
        <w:rPr>
          <w:rFonts w:hint="eastAsia"/>
          <w:color w:val="auto"/>
          <w:kern w:val="2"/>
        </w:rPr>
        <w:t>法结合任务</w:t>
      </w:r>
      <w:r>
        <w:rPr>
          <w:color w:val="auto"/>
          <w:kern w:val="2"/>
        </w:rPr>
        <w:t>驱动等教学方法开展教学。</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5</w:t>
      </w:r>
      <w:r>
        <w:rPr>
          <w:color w:val="auto"/>
          <w:kern w:val="2"/>
        </w:rPr>
        <w:t>.学习评价</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专业课程</w:t>
      </w:r>
      <w:r>
        <w:rPr>
          <w:color w:val="auto"/>
          <w:kern w:val="2"/>
        </w:rPr>
        <w:t>从</w:t>
      </w:r>
      <w:r>
        <w:rPr>
          <w:rFonts w:hint="eastAsia"/>
          <w:color w:val="auto"/>
          <w:kern w:val="2"/>
        </w:rPr>
        <w:t>课堂</w:t>
      </w:r>
      <w:r>
        <w:rPr>
          <w:color w:val="auto"/>
          <w:kern w:val="2"/>
        </w:rPr>
        <w:t>表现、作业、课内实践等平时考核和期末考核进行评价。实训</w:t>
      </w:r>
      <w:r>
        <w:rPr>
          <w:rFonts w:hint="eastAsia"/>
          <w:color w:val="auto"/>
          <w:kern w:val="2"/>
        </w:rPr>
        <w:t>课程</w:t>
      </w:r>
      <w:r>
        <w:rPr>
          <w:color w:val="auto"/>
          <w:kern w:val="2"/>
        </w:rPr>
        <w:t>从</w:t>
      </w:r>
      <w:r>
        <w:rPr>
          <w:rFonts w:hint="eastAsia"/>
          <w:color w:val="auto"/>
          <w:kern w:val="2"/>
        </w:rPr>
        <w:t>实训</w:t>
      </w:r>
      <w:r>
        <w:rPr>
          <w:color w:val="auto"/>
          <w:kern w:val="2"/>
        </w:rPr>
        <w:t>表现、实训</w:t>
      </w:r>
      <w:r>
        <w:rPr>
          <w:rFonts w:hint="eastAsia"/>
          <w:color w:val="auto"/>
          <w:kern w:val="2"/>
        </w:rPr>
        <w:t>成果</w:t>
      </w:r>
      <w:r>
        <w:rPr>
          <w:color w:val="auto"/>
          <w:kern w:val="2"/>
        </w:rPr>
        <w:t>、实训总结报告进行评价</w:t>
      </w:r>
      <w:r>
        <w:rPr>
          <w:rFonts w:hint="eastAsia"/>
          <w:color w:val="auto"/>
          <w:kern w:val="2"/>
        </w:rPr>
        <w:t>。</w:t>
      </w:r>
      <w:r>
        <w:rPr>
          <w:color w:val="auto"/>
          <w:kern w:val="2"/>
        </w:rPr>
        <w:t>实习</w:t>
      </w:r>
      <w:r>
        <w:rPr>
          <w:rFonts w:hint="eastAsia"/>
          <w:color w:val="auto"/>
          <w:kern w:val="2"/>
        </w:rPr>
        <w:t>课程</w:t>
      </w:r>
      <w:r>
        <w:rPr>
          <w:color w:val="auto"/>
          <w:kern w:val="2"/>
        </w:rPr>
        <w:t>由校内、校外指导老师共同评价。</w:t>
      </w:r>
    </w:p>
    <w:p>
      <w:pPr>
        <w:pStyle w:val="7"/>
        <w:adjustRightInd w:val="0"/>
        <w:snapToGrid w:val="0"/>
        <w:spacing w:before="0" w:beforeAutospacing="0" w:after="0" w:afterAutospacing="0" w:line="500" w:lineRule="exact"/>
        <w:ind w:firstLine="480" w:firstLineChars="200"/>
        <w:jc w:val="both"/>
        <w:rPr>
          <w:color w:val="auto"/>
          <w:kern w:val="2"/>
        </w:rPr>
      </w:pPr>
      <w:r>
        <w:rPr>
          <w:rFonts w:hint="eastAsia"/>
          <w:color w:val="auto"/>
          <w:kern w:val="2"/>
        </w:rPr>
        <w:t>6</w:t>
      </w:r>
      <w:r>
        <w:rPr>
          <w:color w:val="auto"/>
          <w:kern w:val="2"/>
        </w:rPr>
        <w:t>.质量管理</w:t>
      </w:r>
    </w:p>
    <w:p>
      <w:pPr>
        <w:widowControl/>
        <w:spacing w:line="500" w:lineRule="exact"/>
        <w:ind w:firstLine="480" w:firstLineChars="200"/>
        <w:rPr>
          <w:rFonts w:ascii="宋体" w:cs="宋体"/>
          <w:color w:val="auto"/>
          <w:kern w:val="0"/>
          <w:sz w:val="24"/>
        </w:rPr>
      </w:pPr>
      <w:r>
        <w:rPr>
          <w:rFonts w:hint="eastAsia" w:ascii="宋体" w:hAnsi="宋体" w:cs="宋体"/>
          <w:color w:val="auto"/>
          <w:kern w:val="0"/>
          <w:sz w:val="24"/>
        </w:rPr>
        <w:t>学校、二级学院、专业建立了三级质量管理体系。学校制定了专业教学质量管理制度，从课堂教学、教学评价、实训实习、毕业设计、专业调研、人才培养方案修制定、资源建设等方面提出质量标准建设。二级学院不断完善教学管理机制，制定专门的教学常规管理文件，督导随机开展推门听课，注重日常教学组织运行和管理。专业认真执行教学常规，定期开展示范课、公开课、听课、评课等教研活动，召开毕业生座谈会，开展用人单位专业问卷调查，收集教学质量效果评价资料，定期评价人才培养质量和培养目标的达成情况，利用评价分析结果改进专业教学，持续提高人才培养质量。</w:t>
      </w:r>
    </w:p>
    <w:p>
      <w:pPr>
        <w:pStyle w:val="7"/>
        <w:adjustRightInd w:val="0"/>
        <w:snapToGrid w:val="0"/>
        <w:spacing w:before="0" w:beforeAutospacing="0" w:after="0" w:afterAutospacing="0" w:line="500" w:lineRule="exact"/>
        <w:ind w:firstLine="480" w:firstLineChars="200"/>
        <w:jc w:val="both"/>
        <w:rPr>
          <w:color w:val="auto"/>
        </w:rPr>
      </w:pPr>
      <w:r>
        <w:rPr>
          <w:rFonts w:hint="eastAsia"/>
          <w:color w:val="auto"/>
        </w:rPr>
        <w:t>综上所述</w:t>
      </w:r>
      <w:r>
        <w:rPr>
          <w:color w:val="auto"/>
        </w:rPr>
        <w:t>，</w:t>
      </w:r>
      <w:r>
        <w:rPr>
          <w:rFonts w:hint="eastAsia"/>
          <w:color w:val="auto"/>
        </w:rPr>
        <w:t>大数据与</w:t>
      </w:r>
      <w:r>
        <w:rPr>
          <w:color w:val="auto"/>
        </w:rPr>
        <w:t>财务管理专业满足国家的标准要求。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5x4W/RAQAApgMAAA4AAAAAAAAAAQAgAAAAHgEAAGRy&#10;cy9lMm9Eb2MueG1sUEsFBgAAAAAGAAYAWQEAAGE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pPr>
    <w:r>
      <w:rPr>
        <w:rFonts w:hint="eastAsia"/>
      </w:rPr>
      <w:t>浙江广厦建设职业技术大学202</w:t>
    </w:r>
    <w:r>
      <w:rPr>
        <w:rFonts w:hint="eastAsia"/>
        <w:lang w:val="en-US" w:eastAsia="zh-CN"/>
      </w:rPr>
      <w:t>2</w:t>
    </w:r>
    <w:r>
      <w:rPr>
        <w:rFonts w:hint="eastAsia"/>
      </w:rPr>
      <w:t>级（大数据与财务管理专业）人才培养方案</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pPr>
    <w:r>
      <w:rPr>
        <w:rFonts w:hint="eastAsia"/>
      </w:rPr>
      <w:t>浙江广厦建设职业技术大学202</w:t>
    </w:r>
    <w:r>
      <w:rPr>
        <w:rFonts w:hint="eastAsia"/>
        <w:lang w:val="en-US" w:eastAsia="zh-CN"/>
      </w:rPr>
      <w:t>2</w:t>
    </w:r>
    <w:r>
      <w:rPr>
        <w:rFonts w:hint="eastAsia"/>
      </w:rPr>
      <w:t>级（大数据与财务管理专业）人才培养方案</w:t>
    </w:r>
  </w:p>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JiOWIwN2IxZTg0M2IwMjBjOTA2MDJjMjE0MzIifQ=="/>
  </w:docVars>
  <w:rsids>
    <w:rsidRoot w:val="215A0B86"/>
    <w:rsid w:val="001311A9"/>
    <w:rsid w:val="00142BD1"/>
    <w:rsid w:val="001A5A25"/>
    <w:rsid w:val="001D2E58"/>
    <w:rsid w:val="006565D3"/>
    <w:rsid w:val="006743FA"/>
    <w:rsid w:val="0069159B"/>
    <w:rsid w:val="007F501F"/>
    <w:rsid w:val="008239C1"/>
    <w:rsid w:val="008A7BE0"/>
    <w:rsid w:val="009141BA"/>
    <w:rsid w:val="00A348EF"/>
    <w:rsid w:val="00AB12DF"/>
    <w:rsid w:val="00BA1872"/>
    <w:rsid w:val="00BC6CE3"/>
    <w:rsid w:val="00E352E3"/>
    <w:rsid w:val="00EB552E"/>
    <w:rsid w:val="00EC6BA3"/>
    <w:rsid w:val="03CE232C"/>
    <w:rsid w:val="040105FF"/>
    <w:rsid w:val="0475016D"/>
    <w:rsid w:val="07532D0C"/>
    <w:rsid w:val="07DF7511"/>
    <w:rsid w:val="0AA25CE6"/>
    <w:rsid w:val="0BF914E4"/>
    <w:rsid w:val="0DB65B2A"/>
    <w:rsid w:val="0DFA5959"/>
    <w:rsid w:val="10BC31EF"/>
    <w:rsid w:val="11924877"/>
    <w:rsid w:val="125B6B46"/>
    <w:rsid w:val="128D74D6"/>
    <w:rsid w:val="14963B21"/>
    <w:rsid w:val="15485991"/>
    <w:rsid w:val="15591267"/>
    <w:rsid w:val="166D3E84"/>
    <w:rsid w:val="186938B7"/>
    <w:rsid w:val="18CE3C48"/>
    <w:rsid w:val="1A790160"/>
    <w:rsid w:val="1B9E617B"/>
    <w:rsid w:val="1D2C3517"/>
    <w:rsid w:val="1D31369B"/>
    <w:rsid w:val="1D600B8C"/>
    <w:rsid w:val="1F3806D7"/>
    <w:rsid w:val="209758B1"/>
    <w:rsid w:val="20CA0DD0"/>
    <w:rsid w:val="215A0B86"/>
    <w:rsid w:val="21747E5B"/>
    <w:rsid w:val="238C1A96"/>
    <w:rsid w:val="239D0711"/>
    <w:rsid w:val="247445E1"/>
    <w:rsid w:val="25F05C83"/>
    <w:rsid w:val="28A83F9D"/>
    <w:rsid w:val="2A376A6E"/>
    <w:rsid w:val="304724E2"/>
    <w:rsid w:val="312C6AC0"/>
    <w:rsid w:val="314D11B5"/>
    <w:rsid w:val="32E40818"/>
    <w:rsid w:val="33911628"/>
    <w:rsid w:val="3433502F"/>
    <w:rsid w:val="34E15227"/>
    <w:rsid w:val="352A6467"/>
    <w:rsid w:val="37050592"/>
    <w:rsid w:val="42077BA0"/>
    <w:rsid w:val="42D41315"/>
    <w:rsid w:val="43FF3A92"/>
    <w:rsid w:val="46164949"/>
    <w:rsid w:val="46735500"/>
    <w:rsid w:val="479B768A"/>
    <w:rsid w:val="4A55660B"/>
    <w:rsid w:val="4AF60AC6"/>
    <w:rsid w:val="4D0E39F1"/>
    <w:rsid w:val="4E956826"/>
    <w:rsid w:val="4F56164A"/>
    <w:rsid w:val="4F64688F"/>
    <w:rsid w:val="50926F7D"/>
    <w:rsid w:val="53CE7ECA"/>
    <w:rsid w:val="55F906E4"/>
    <w:rsid w:val="56031A95"/>
    <w:rsid w:val="566C7C2E"/>
    <w:rsid w:val="58252351"/>
    <w:rsid w:val="58AE3C0D"/>
    <w:rsid w:val="58D826F5"/>
    <w:rsid w:val="593D59DB"/>
    <w:rsid w:val="5C984282"/>
    <w:rsid w:val="5F3F62FA"/>
    <w:rsid w:val="5F65384C"/>
    <w:rsid w:val="6064055C"/>
    <w:rsid w:val="65151E9D"/>
    <w:rsid w:val="654900FB"/>
    <w:rsid w:val="65915909"/>
    <w:rsid w:val="67383D48"/>
    <w:rsid w:val="67C5011D"/>
    <w:rsid w:val="68B10E6A"/>
    <w:rsid w:val="6A007310"/>
    <w:rsid w:val="6A211646"/>
    <w:rsid w:val="6AE304B4"/>
    <w:rsid w:val="6CC41161"/>
    <w:rsid w:val="6E2F2583"/>
    <w:rsid w:val="6EBD4A54"/>
    <w:rsid w:val="71AE7C22"/>
    <w:rsid w:val="75A41DD2"/>
    <w:rsid w:val="762F0999"/>
    <w:rsid w:val="775D56FE"/>
    <w:rsid w:val="781546AD"/>
    <w:rsid w:val="78204539"/>
    <w:rsid w:val="78F42A5C"/>
    <w:rsid w:val="7A3675BD"/>
    <w:rsid w:val="7D1455A0"/>
    <w:rsid w:val="7E1D50C7"/>
    <w:rsid w:val="7EEB584B"/>
    <w:rsid w:val="7F9D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before="340" w:after="330" w:line="578" w:lineRule="auto"/>
      <w:jc w:val="left"/>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1"/>
    <w:basedOn w:val="1"/>
    <w:qFormat/>
    <w:uiPriority w:val="0"/>
    <w:pPr>
      <w:widowControl/>
      <w:spacing w:after="160" w:line="240" w:lineRule="exact"/>
      <w:jc w:val="left"/>
    </w:pPr>
    <w:rPr>
      <w:rFonts w:ascii="Verdana" w:hAnsi="Verdana"/>
      <w:kern w:val="0"/>
      <w:sz w:val="20"/>
      <w:szCs w:val="20"/>
      <w:lang w:eastAsia="en-US"/>
    </w:rPr>
  </w:style>
  <w:style w:type="character" w:customStyle="1" w:styleId="13">
    <w:name w:val="批注框文本 字符"/>
    <w:basedOn w:val="10"/>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2881</Words>
  <Characters>16427</Characters>
  <Lines>136</Lines>
  <Paragraphs>38</Paragraphs>
  <TotalTime>118</TotalTime>
  <ScaleCrop>false</ScaleCrop>
  <LinksUpToDate>false</LinksUpToDate>
  <CharactersWithSpaces>19270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2021-03-23T01:04:00Z</dcterms:created>
  <dc:creator>菁</dc:creator>
  <cp:lastModifiedBy>☆快樂々天使</cp:lastModifiedBy>
  <cp:lastPrinted>2021-06-25T08:45:00Z</cp:lastPrinted>
  <dcterms:modified xsi:type="dcterms:W3CDTF">2023-06-08T08:18:49Z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C1BDCDA4FCB9466FA1252E75BBDCBF1B</vt:lpwstr>
  </property>
</Properties>
</file>